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9D2" w:rsidRPr="008359D2" w:rsidRDefault="008359D2" w:rsidP="008359D2">
      <w:pPr>
        <w:jc w:val="both"/>
        <w:rPr>
          <w:rFonts w:ascii="Montserrat" w:hAnsi="Montserrat"/>
          <w:b/>
        </w:rPr>
      </w:pPr>
      <w:r w:rsidRPr="008359D2">
        <w:rPr>
          <w:rFonts w:ascii="Montserrat" w:hAnsi="Montserrat"/>
          <w:b/>
        </w:rPr>
        <w:t>DOCUMENTO TÉCNICO ESTRATÉGICO DE ANÁLISIS INTEGRAL Y PROSPECTIVA TERRITORIAL: EVALUACIÓN ESTRUCTURAL DEL SISTEMA DE ESPACIO PÚBLICO DEL MUNICIPIO DE ARMENIA</w:t>
      </w:r>
    </w:p>
    <w:p w:rsidR="008359D2" w:rsidRPr="008359D2" w:rsidRDefault="008359D2" w:rsidP="008359D2">
      <w:pPr>
        <w:jc w:val="both"/>
        <w:rPr>
          <w:rFonts w:ascii="Montserrat" w:hAnsi="Montserrat"/>
          <w:b/>
        </w:rPr>
      </w:pPr>
      <w:r w:rsidRPr="008359D2">
        <w:rPr>
          <w:rFonts w:ascii="Montserrat" w:hAnsi="Montserrat"/>
          <w:b/>
        </w:rPr>
        <w:t>1. CURADURÍA Y LEVANTAMIENTO DEL ACERVO DOCUMENTAL: RECONSTRUCCIÓN DE LA MEMORIA TÉCNICA E INSTITUCIONAL DEL ESPACIO PÚBLICO</w:t>
      </w:r>
    </w:p>
    <w:p w:rsidR="008359D2" w:rsidRPr="008359D2" w:rsidRDefault="008359D2" w:rsidP="008359D2">
      <w:pPr>
        <w:jc w:val="both"/>
        <w:rPr>
          <w:rFonts w:ascii="Montserrat" w:hAnsi="Montserrat"/>
        </w:rPr>
      </w:pPr>
      <w:r w:rsidRPr="008359D2">
        <w:rPr>
          <w:rFonts w:ascii="Montserrat" w:hAnsi="Montserrat"/>
        </w:rPr>
        <w:t>La estructuración de un diagnóstico territorial de alta rigurosidad técnica y jurídica exige, como prerrequisito epistemológico y metodológico, la consolidación de una línea base documental que trascienda la simple recopilación estática de archivos para erigirse como un ejercicio de curaduría analítica y sistemática</w:t>
      </w:r>
    </w:p>
    <w:p w:rsidR="008359D2" w:rsidRPr="008359D2" w:rsidRDefault="008359D2" w:rsidP="008359D2">
      <w:pPr>
        <w:jc w:val="both"/>
        <w:rPr>
          <w:rFonts w:ascii="Montserrat" w:hAnsi="Montserrat"/>
        </w:rPr>
      </w:pPr>
      <w:r w:rsidRPr="008359D2">
        <w:rPr>
          <w:rFonts w:ascii="Montserrat" w:hAnsi="Montserrat"/>
        </w:rPr>
        <w:t>. En este sentido, he procedido a realizar un escrutinio exhaustivo, holístico y crítico sobre la vasta producción documental generada por la administración municipal de Armenia durante el periodo comprendido entre 1999 y 2025, enfocando la lente de evaluación de manera exclusiva en el Sistema Estructurante de Bienes Públicos y Ciudadanía, y específicamente, en el componente de Espacio Público. Este horizonte temporal resulta de vital importancia para el análisis de la morfología urbana, pues abarca desde la expedición del primer Plan de Ordenamiento Territorial (Acuerdo 001 de 1999), gestado bajo las dinámicas de reconstrucción post-terremoto</w:t>
      </w:r>
    </w:p>
    <w:p w:rsidR="008359D2" w:rsidRPr="008359D2" w:rsidRDefault="008359D2" w:rsidP="008359D2">
      <w:pPr>
        <w:jc w:val="both"/>
        <w:rPr>
          <w:rFonts w:ascii="Montserrat" w:hAnsi="Montserrat"/>
        </w:rPr>
      </w:pPr>
      <w:r w:rsidRPr="008359D2">
        <w:rPr>
          <w:rFonts w:ascii="Montserrat" w:hAnsi="Montserrat"/>
        </w:rPr>
        <w:t>, hasta la fase de agotamiento normativo del actual POT (Acuerdo 019 de 2009) y sus posteriores modificaciones exc</w:t>
      </w:r>
      <w:r w:rsidRPr="008359D2">
        <w:rPr>
          <w:rFonts w:ascii="Montserrat" w:hAnsi="Montserrat"/>
        </w:rPr>
        <w:t>epcionales</w:t>
      </w:r>
    </w:p>
    <w:p w:rsidR="008359D2" w:rsidRPr="008359D2" w:rsidRDefault="008359D2" w:rsidP="008359D2">
      <w:pPr>
        <w:jc w:val="both"/>
        <w:rPr>
          <w:rFonts w:ascii="Montserrat" w:hAnsi="Montserrat"/>
        </w:rPr>
      </w:pPr>
      <w:r w:rsidRPr="008359D2">
        <w:rPr>
          <w:rFonts w:ascii="Montserrat" w:hAnsi="Montserrat"/>
        </w:rPr>
        <w:t>El levantamiento documental ha implicado la revisión profunda de los Documentos Técnicos de Soporte (DTS) del POT de 2009, los cuales, en su momento de formulación, plantearon un modelo de ocupación fundamentado en el paradigma de la "Ciudad Paisaje" y en la noción teórica de una urbe compacta, equitativa y competitiva, donde el espacio público fungiría como el principal escenario de educación ciudadana y cohesión social</w:t>
      </w:r>
    </w:p>
    <w:p w:rsidR="008359D2" w:rsidRPr="008359D2" w:rsidRDefault="008359D2" w:rsidP="008359D2">
      <w:pPr>
        <w:jc w:val="both"/>
        <w:rPr>
          <w:rFonts w:ascii="Montserrat" w:hAnsi="Montserrat"/>
        </w:rPr>
      </w:pPr>
      <w:r w:rsidRPr="008359D2">
        <w:rPr>
          <w:rFonts w:ascii="Montserrat" w:hAnsi="Montserrat"/>
        </w:rPr>
        <w:t>. Sin embargo, la curaduría analítica revela que la evolución de este modelo de ocupación territorial sufrió una profunda fractura estructural entre su formulación discursiva y su materialización física. Para comprender esta divergencia, se han analizado instrumentos regulatorios recientes, con particular énfasis en el Acuerdo 304 de 2024 (Modificación Excepcional de Norma Urbanística), el cual intentó subsanar de forma tardía los profundos vacíos en la captura de plusvalías y en la asignación de cargas urbanísticas, especialmente ante la hipertrofia inmobiliaria desatada en polígonos de alta presión como el Plan de Ordenamiento Zonal</w:t>
      </w:r>
      <w:r w:rsidRPr="008359D2">
        <w:rPr>
          <w:rFonts w:ascii="Montserrat" w:hAnsi="Montserrat"/>
        </w:rPr>
        <w:t xml:space="preserve"> (POZ) de la Avenida Centenario</w:t>
      </w:r>
    </w:p>
    <w:p w:rsidR="008359D2" w:rsidRPr="008359D2" w:rsidRDefault="008359D2" w:rsidP="008359D2">
      <w:pPr>
        <w:jc w:val="both"/>
        <w:rPr>
          <w:rFonts w:ascii="Montserrat" w:hAnsi="Montserrat"/>
        </w:rPr>
      </w:pPr>
      <w:r w:rsidRPr="008359D2">
        <w:rPr>
          <w:rFonts w:ascii="Montserrat" w:hAnsi="Montserrat"/>
        </w:rPr>
        <w:t xml:space="preserve">Asimismo, este escrutinio ha integrado estudios técnicos de jerarquía superior y planes sectoriales maestros que operan como determinantes insoslayables del ordenamiento del espacio abierto. Entre ellos, destaca el Plan Maestro de Movilidad Sostenible y Segura 2024, el cual diagnostica la severa obsolescencia de la red peatonal básica y la urgente necesidad de transitar hacia esquemas de movilidad </w:t>
      </w:r>
      <w:r w:rsidRPr="008359D2">
        <w:rPr>
          <w:rFonts w:ascii="Montserrat" w:hAnsi="Montserrat"/>
        </w:rPr>
        <w:lastRenderedPageBreak/>
        <w:t>activa, evidenciando saturaciones críticas y la falta de articulación entre los Paraderos con Espacio Público (PEP) y el tejido urbano</w:t>
      </w:r>
    </w:p>
    <w:p w:rsidR="008359D2" w:rsidRPr="008359D2" w:rsidRDefault="008359D2" w:rsidP="008359D2">
      <w:pPr>
        <w:jc w:val="both"/>
        <w:rPr>
          <w:rFonts w:ascii="Montserrat" w:hAnsi="Montserrat"/>
        </w:rPr>
      </w:pPr>
      <w:r w:rsidRPr="008359D2">
        <w:rPr>
          <w:rFonts w:ascii="Montserrat" w:hAnsi="Montserrat"/>
        </w:rPr>
        <w:t>. De igual forma, se auditó con rigurosidad el Plan de Gestión Integral de Residuos Sólidos (PGIRS 2021-2027), un documento que trasciende el saneamiento para develar la profunda crisis de salubridad, deterioro físico y abandono en los bienes de uso público, evidenciando la proliferación de puntos críticos de disposición ilegal de Residuos de Construcción y Demolición (RCD) sobre las márgenes de las microcuencas urbanas, aniqui</w:t>
      </w:r>
      <w:r w:rsidRPr="008359D2">
        <w:rPr>
          <w:rFonts w:ascii="Montserrat" w:hAnsi="Montserrat"/>
        </w:rPr>
        <w:t>lando su potencial paisajístico</w:t>
      </w:r>
    </w:p>
    <w:p w:rsidR="008359D2" w:rsidRPr="008359D2" w:rsidRDefault="008359D2" w:rsidP="008359D2">
      <w:pPr>
        <w:jc w:val="both"/>
        <w:rPr>
          <w:rFonts w:ascii="Montserrat" w:hAnsi="Montserrat"/>
        </w:rPr>
      </w:pPr>
      <w:r w:rsidRPr="008359D2">
        <w:rPr>
          <w:rFonts w:ascii="Montserrat" w:hAnsi="Montserrat"/>
        </w:rPr>
        <w:t xml:space="preserve">La revisión retrospectiva se complementó con la exégesis de los voluminosos estudios base desarrollados por firmas consultoras e instituciones especializadas como </w:t>
      </w:r>
      <w:proofErr w:type="spellStart"/>
      <w:r w:rsidRPr="008359D2">
        <w:rPr>
          <w:rFonts w:ascii="Montserrat" w:hAnsi="Montserrat"/>
        </w:rPr>
        <w:t>Findeter</w:t>
      </w:r>
      <w:proofErr w:type="spellEnd"/>
      <w:r w:rsidRPr="008359D2">
        <w:rPr>
          <w:rFonts w:ascii="Montserrat" w:hAnsi="Montserrat"/>
        </w:rPr>
        <w:t xml:space="preserve"> e IDOM</w:t>
      </w:r>
    </w:p>
    <w:p w:rsidR="008359D2" w:rsidRPr="008359D2" w:rsidRDefault="008359D2" w:rsidP="008359D2">
      <w:pPr>
        <w:jc w:val="both"/>
        <w:rPr>
          <w:rFonts w:ascii="Montserrat" w:hAnsi="Montserrat"/>
        </w:rPr>
      </w:pPr>
      <w:r w:rsidRPr="008359D2">
        <w:rPr>
          <w:rFonts w:ascii="Montserrat" w:hAnsi="Montserrat"/>
        </w:rPr>
        <w:t>. Estos estudios prospectivos evidencian que, si bien el municipio cuenta con un acervo técnico de altísimo nivel académico, este conocimiento ha operado de forma insular y desarticulada. Es decir, la administración municipal ha adolecido de la capacidad institucional y normativa para traducir los atributos geográficos y las áreas de protección ambiental en verdaderas redes de espacio público efectivo. Esta curaduría permite comprender que las falencias del modelo de ocupación en Armenia no derivan primordialmente de una ausencia de estudios técnicos, sino de una desconexión crónica entre la planeación declarativa (la ciudad soñada) y la gestión operativa e instrumental d</w:t>
      </w:r>
      <w:r w:rsidRPr="008359D2">
        <w:rPr>
          <w:rFonts w:ascii="Montserrat" w:hAnsi="Montserrat"/>
        </w:rPr>
        <w:t>el suelo (la ciudad construida)</w:t>
      </w:r>
    </w:p>
    <w:p w:rsidR="008359D2" w:rsidRPr="008359D2" w:rsidRDefault="008359D2" w:rsidP="008359D2">
      <w:pPr>
        <w:jc w:val="both"/>
        <w:rPr>
          <w:rFonts w:ascii="Montserrat" w:hAnsi="Montserrat"/>
          <w:b/>
        </w:rPr>
      </w:pPr>
      <w:r w:rsidRPr="008359D2">
        <w:rPr>
          <w:rFonts w:ascii="Montserrat" w:hAnsi="Montserrat"/>
          <w:b/>
        </w:rPr>
        <w:t>2. EVALUACIÓN DE SUFICIENCIA Y FICHAJE TÉCNICO-ANALÍTICO: TRANSICIÓN HACIA UN ORDENAMIENTO FUNCIONAL DEL HÁBITAT PÚBLICO</w:t>
      </w:r>
    </w:p>
    <w:p w:rsidR="008359D2" w:rsidRPr="008359D2" w:rsidRDefault="008359D2" w:rsidP="008359D2">
      <w:pPr>
        <w:jc w:val="both"/>
        <w:rPr>
          <w:rFonts w:ascii="Montserrat" w:hAnsi="Montserrat"/>
        </w:rPr>
      </w:pPr>
      <w:r w:rsidRPr="008359D2">
        <w:rPr>
          <w:rFonts w:ascii="Montserrat" w:hAnsi="Montserrat"/>
        </w:rPr>
        <w:t>Para superar el enfoque tradicional y obsoleto de los diagnósticos meramente descriptivos, se aplicó de manera estricta la ruta operativa "Paso a Paso" establecida en la Estructura del Documento de Brechas Documentales para el Diagnóstico del POT</w:t>
      </w:r>
    </w:p>
    <w:p w:rsidR="008359D2" w:rsidRPr="008359D2" w:rsidRDefault="008359D2" w:rsidP="008359D2">
      <w:pPr>
        <w:jc w:val="both"/>
        <w:rPr>
          <w:rFonts w:ascii="Montserrat" w:hAnsi="Montserrat"/>
        </w:rPr>
      </w:pPr>
      <w:r w:rsidRPr="008359D2">
        <w:rPr>
          <w:rFonts w:ascii="Montserrat" w:hAnsi="Montserrat"/>
        </w:rPr>
        <w:t>. Este rigor procedimental exigió someter cada insumo a una matriz de evaluación estandarizada, con el propósito invariable de determinar si la evidencia documental permitía responder a las preguntas orientadoras del diagnóstico bajo las categorías formales de suficiencia. Este ejercicio de fichaje técnico-analítico se ejecutó con una profundidad propia de un diagnóstico estructural de nivel de doctorado, focalizando el análisis transversal de manera exclusiva en el Sistema Estructurante de Bienes Públicos y Ciudadanía, particularmente en la provisión, calidad y distribución del Espacio Público.</w:t>
      </w:r>
    </w:p>
    <w:p w:rsidR="008359D2" w:rsidRPr="008359D2" w:rsidRDefault="008359D2" w:rsidP="008359D2">
      <w:pPr>
        <w:jc w:val="both"/>
        <w:rPr>
          <w:rFonts w:ascii="Montserrat" w:hAnsi="Montserrat"/>
        </w:rPr>
      </w:pPr>
      <w:r w:rsidRPr="008359D2">
        <w:rPr>
          <w:rFonts w:ascii="Montserrat" w:hAnsi="Montserrat"/>
        </w:rPr>
        <w:t xml:space="preserve">En lo concerniente al Espacio Público, la evaluación de suficiencia demostró empíricamente que la información es fragmentada y, en términos cualitativos, altamente deficiente. Los documentos evidencian que la meta normativa del POT de 2009 de establecer a la Estructura Ecológica Principal (EEP) —compuesta por 54 microcuencas urbanas y la Falla de Armenia— como el eje articulador del espacio </w:t>
      </w:r>
      <w:r w:rsidRPr="008359D2">
        <w:rPr>
          <w:rFonts w:ascii="Montserrat" w:hAnsi="Montserrat"/>
        </w:rPr>
        <w:lastRenderedPageBreak/>
        <w:t>público bajo el concepto de "Urbanismo Ecológico", fracasó sistemáticamente en su implementación</w:t>
      </w:r>
    </w:p>
    <w:p w:rsidR="008359D2" w:rsidRPr="008359D2" w:rsidRDefault="008359D2" w:rsidP="008359D2">
      <w:pPr>
        <w:jc w:val="both"/>
        <w:rPr>
          <w:rFonts w:ascii="Montserrat" w:hAnsi="Montserrat"/>
        </w:rPr>
      </w:pPr>
      <w:r w:rsidRPr="008359D2">
        <w:rPr>
          <w:rFonts w:ascii="Montserrat" w:hAnsi="Montserrat"/>
        </w:rPr>
        <w:t>. El déficit cualitativo y cuantitativo es crítico e innegable; la ciudad registra un indicador promedio de espacio público total de entre 3.4 y 5.7 metros cuadrados por habitante</w:t>
      </w:r>
    </w:p>
    <w:p w:rsidR="008359D2" w:rsidRPr="008359D2" w:rsidRDefault="008359D2" w:rsidP="008359D2">
      <w:pPr>
        <w:jc w:val="both"/>
        <w:rPr>
          <w:rFonts w:ascii="Montserrat" w:hAnsi="Montserrat"/>
        </w:rPr>
      </w:pPr>
      <w:r w:rsidRPr="008359D2">
        <w:rPr>
          <w:rFonts w:ascii="Montserrat" w:hAnsi="Montserrat"/>
        </w:rPr>
        <w:t>, una cifra que palidece drásticamente frente al estándar mínimo nacional de 15 metros cuadrados por habitante exigido por el Decreto 1504 de 1998 y las recomendaciones de la Organización Mundial de la Salud</w:t>
      </w:r>
    </w:p>
    <w:p w:rsidR="008359D2" w:rsidRPr="008359D2" w:rsidRDefault="008359D2" w:rsidP="008359D2">
      <w:pPr>
        <w:jc w:val="both"/>
        <w:rPr>
          <w:rFonts w:ascii="Montserrat" w:hAnsi="Montserrat"/>
        </w:rPr>
      </w:pPr>
      <w:r w:rsidRPr="008359D2">
        <w:rPr>
          <w:rFonts w:ascii="Montserrat" w:hAnsi="Montserrat"/>
        </w:rPr>
        <w:t>. Aún más grave resulta el hallazgo de que, al depurar este indicador y observar exclusivamente las áreas verdes cualificadas (parques dotados y plazas utilizables), el índice desciende a niveles alarmantes de apenas 3.9 a 4.2 metros cuadrados por habi</w:t>
      </w:r>
      <w:r w:rsidRPr="008359D2">
        <w:rPr>
          <w:rFonts w:ascii="Montserrat" w:hAnsi="Montserrat"/>
        </w:rPr>
        <w:t>tante</w:t>
      </w:r>
    </w:p>
    <w:p w:rsidR="008359D2" w:rsidRPr="008359D2" w:rsidRDefault="008359D2" w:rsidP="008359D2">
      <w:pPr>
        <w:jc w:val="both"/>
        <w:rPr>
          <w:rFonts w:ascii="Montserrat" w:hAnsi="Montserrat"/>
        </w:rPr>
      </w:pPr>
      <w:r w:rsidRPr="008359D2">
        <w:rPr>
          <w:rFonts w:ascii="Montserrat" w:hAnsi="Montserrat"/>
        </w:rPr>
        <w:t>Al evaluar la suficiencia de los manuales y normativas conexas, se constató una brecha de aplicabilidad insalvable: el Manual Normativo de Espacio Público, ordenado desde 2009 en el artículo 115 del POT para estandarizar el mobiliario, las texturas y garantizar la accesibilidad universal, nunca fue adoptado operativamente de forma rigurosa</w:t>
      </w:r>
    </w:p>
    <w:p w:rsidR="008359D2" w:rsidRPr="008359D2" w:rsidRDefault="008359D2" w:rsidP="008359D2">
      <w:pPr>
        <w:jc w:val="both"/>
        <w:rPr>
          <w:rFonts w:ascii="Montserrat" w:hAnsi="Montserrat"/>
        </w:rPr>
      </w:pPr>
      <w:r w:rsidRPr="008359D2">
        <w:rPr>
          <w:rFonts w:ascii="Montserrat" w:hAnsi="Montserrat"/>
        </w:rPr>
        <w:t>. Esta omisión ha derivado en la anarquía estética y funcional del paisaje urbano, la apropiación indebida de andenes, el comercio informal desregulado que expulsa al peatón hacia la calzada vehicular y la precarización física de las escasas zonas de cesión entregadas al municipio</w:t>
      </w:r>
    </w:p>
    <w:p w:rsidR="008359D2" w:rsidRPr="008359D2" w:rsidRDefault="008359D2" w:rsidP="008359D2">
      <w:pPr>
        <w:jc w:val="both"/>
        <w:rPr>
          <w:rFonts w:ascii="Montserrat" w:hAnsi="Montserrat"/>
        </w:rPr>
      </w:pPr>
      <w:r w:rsidRPr="008359D2">
        <w:rPr>
          <w:rFonts w:ascii="Montserrat" w:hAnsi="Montserrat"/>
        </w:rPr>
        <w:t>. La suficiencia documental dictamina que el urbanismo de Armenia ha operado mediante intervenciones puntuales y desconectadas, carentes de una visión sistémica que consolide una verdadera red peatonal y de esparcimiento.</w:t>
      </w:r>
    </w:p>
    <w:p w:rsidR="008359D2" w:rsidRPr="008359D2" w:rsidRDefault="008359D2" w:rsidP="008359D2">
      <w:pPr>
        <w:jc w:val="both"/>
        <w:rPr>
          <w:rFonts w:ascii="Montserrat" w:hAnsi="Montserrat"/>
          <w:b/>
        </w:rPr>
      </w:pPr>
      <w:r w:rsidRPr="008359D2">
        <w:rPr>
          <w:rFonts w:ascii="Montserrat" w:hAnsi="Montserrat"/>
          <w:b/>
        </w:rPr>
        <w:t>3. IDENTIFICACIÓN Y TIPIFICACIÓN DE BRECHAS DOCUMENTALES Y TERRITORIALES: LOS NUDOS GORDIANOS EN LA GESTIÓN DEL ESPACIO PÚBLICO</w:t>
      </w:r>
    </w:p>
    <w:p w:rsidR="008359D2" w:rsidRPr="008359D2" w:rsidRDefault="008359D2" w:rsidP="008359D2">
      <w:pPr>
        <w:jc w:val="both"/>
        <w:rPr>
          <w:rFonts w:ascii="Montserrat" w:hAnsi="Montserrat"/>
        </w:rPr>
      </w:pPr>
      <w:r w:rsidRPr="008359D2">
        <w:rPr>
          <w:rFonts w:ascii="Montserrat" w:hAnsi="Montserrat"/>
        </w:rPr>
        <w:t>Concluida y superada la fase de contraste normativo y evaluación de suficiencia, el proceso de diagnóstico avanzó hacia la identificación geomorfológica, jurídica y social de los vacíos más agudos del municipio en materia de bienes de uso público</w:t>
      </w:r>
    </w:p>
    <w:p w:rsidR="008359D2" w:rsidRPr="008359D2" w:rsidRDefault="008359D2" w:rsidP="008359D2">
      <w:pPr>
        <w:jc w:val="both"/>
        <w:rPr>
          <w:rFonts w:ascii="Montserrat" w:hAnsi="Montserrat"/>
        </w:rPr>
      </w:pPr>
      <w:r w:rsidRPr="008359D2">
        <w:rPr>
          <w:rFonts w:ascii="Montserrat" w:hAnsi="Montserrat"/>
        </w:rPr>
        <w:t>. Se procedió a tipificar las brechas metodológicas, lo cual ha permitido trascender la mera identificación de síntomas para diagnosticar la etiología de la parálisis territorial, definiendo los "nudos gordianos" estructurales que amenazan la sostenibilidad de Armenia como una ciudad a escala humana.</w:t>
      </w:r>
    </w:p>
    <w:p w:rsidR="008359D2" w:rsidRPr="008359D2" w:rsidRDefault="008359D2" w:rsidP="008359D2">
      <w:pPr>
        <w:jc w:val="both"/>
        <w:rPr>
          <w:rFonts w:ascii="Montserrat" w:hAnsi="Montserrat"/>
        </w:rPr>
      </w:pPr>
      <w:r w:rsidRPr="008359D2">
        <w:rPr>
          <w:rFonts w:ascii="Montserrat" w:hAnsi="Montserrat"/>
        </w:rPr>
        <w:t>Primer Nudo Gordiano: La Inoperancia de los Instrumentos de Gestión y Financiación del Suelo. La tipificación de esta brecha normativa revela un fenómeno crónico de "subsidio inverso" o privatización masiva de los beneficios derivados de las decisiones de ordenamiento urbano. Durante más de quince años, el municipio otorgó mayores índices de edificabilidad y densificación en altura sin contar con la reglamentación eficaz e inmediata de la Participación en Plusvalía, ni el Reparto Equitativo de Cargas y Beneficios</w:t>
      </w:r>
    </w:p>
    <w:p w:rsidR="008359D2" w:rsidRPr="008359D2" w:rsidRDefault="008359D2" w:rsidP="008359D2">
      <w:pPr>
        <w:jc w:val="both"/>
        <w:rPr>
          <w:rFonts w:ascii="Montserrat" w:hAnsi="Montserrat"/>
        </w:rPr>
      </w:pPr>
      <w:r w:rsidRPr="008359D2">
        <w:rPr>
          <w:rFonts w:ascii="Montserrat" w:hAnsi="Montserrat"/>
        </w:rPr>
        <w:lastRenderedPageBreak/>
        <w:t>. Como consecuencia directa y perjudicial, los desarrolladores inmobiliarios capturaron íntegramente las rentas del suelo generadas por las normativas públicas, mientras que la administración municipal quedó desprovista del músculo fiscal indispensable para adquirir predios destinados a la consolidación de la red de parques de escala comunal y regional</w:t>
      </w:r>
    </w:p>
    <w:p w:rsidR="008359D2" w:rsidRPr="008359D2" w:rsidRDefault="008359D2" w:rsidP="008359D2">
      <w:pPr>
        <w:jc w:val="both"/>
        <w:rPr>
          <w:rFonts w:ascii="Montserrat" w:hAnsi="Montserrat"/>
        </w:rPr>
      </w:pPr>
      <w:r w:rsidRPr="008359D2">
        <w:rPr>
          <w:rFonts w:ascii="Montserrat" w:hAnsi="Montserrat"/>
        </w:rPr>
        <w:t>. Las áreas entregadas históricamente como "cesión obligatoria" (el 17% del área neta urbanizable) fueron recibidas por el municipio de forma laxa, consistiendo habitualmente en remanentes viales residuales, retazos topográficamente inútiles o laderas de protección ambiental con pendientes superiores al 30%, absolutamente inaptas para el goce c</w:t>
      </w:r>
      <w:r w:rsidRPr="008359D2">
        <w:rPr>
          <w:rFonts w:ascii="Montserrat" w:hAnsi="Montserrat"/>
        </w:rPr>
        <w:t>olectivo y la recreación activa</w:t>
      </w:r>
    </w:p>
    <w:p w:rsidR="008359D2" w:rsidRPr="008359D2" w:rsidRDefault="008359D2" w:rsidP="008359D2">
      <w:pPr>
        <w:jc w:val="both"/>
        <w:rPr>
          <w:rFonts w:ascii="Montserrat" w:hAnsi="Montserrat"/>
        </w:rPr>
      </w:pPr>
      <w:r w:rsidRPr="008359D2">
        <w:rPr>
          <w:rFonts w:ascii="Montserrat" w:hAnsi="Montserrat"/>
        </w:rPr>
        <w:t xml:space="preserve">Segundo Nudo Gordiano: La Profunda Segregación </w:t>
      </w:r>
      <w:proofErr w:type="spellStart"/>
      <w:r w:rsidRPr="008359D2">
        <w:rPr>
          <w:rFonts w:ascii="Montserrat" w:hAnsi="Montserrat"/>
        </w:rPr>
        <w:t>Socioespacial</w:t>
      </w:r>
      <w:proofErr w:type="spellEnd"/>
      <w:r w:rsidRPr="008359D2">
        <w:rPr>
          <w:rFonts w:ascii="Montserrat" w:hAnsi="Montserrat"/>
        </w:rPr>
        <w:t xml:space="preserve"> del Hábitat Público. El déficit de espacio público no se distribuye de manera homogénea en la geografía urbana, sino que manifiesta una fractura territorial profunda que reproduce la desigualdad social</w:t>
      </w:r>
    </w:p>
    <w:p w:rsidR="008359D2" w:rsidRPr="008359D2" w:rsidRDefault="008359D2" w:rsidP="008359D2">
      <w:pPr>
        <w:jc w:val="both"/>
        <w:rPr>
          <w:rFonts w:ascii="Montserrat" w:hAnsi="Montserrat"/>
        </w:rPr>
      </w:pPr>
      <w:r w:rsidRPr="008359D2">
        <w:rPr>
          <w:rFonts w:ascii="Montserrat" w:hAnsi="Montserrat"/>
        </w:rPr>
        <w:t>. El diagnóstico territorial evidencia que comunas ubicadas en el sector norte y noroccidente (Comunas 2 y 10), beneficiadas por su morfología y la dinámica inmobiliaria de estratos altos, concentran cerca del 39% de las áreas verdes totales</w:t>
      </w:r>
    </w:p>
    <w:p w:rsidR="008359D2" w:rsidRPr="008359D2" w:rsidRDefault="008359D2" w:rsidP="008359D2">
      <w:pPr>
        <w:jc w:val="both"/>
        <w:rPr>
          <w:rFonts w:ascii="Montserrat" w:hAnsi="Montserrat"/>
        </w:rPr>
      </w:pPr>
      <w:r w:rsidRPr="008359D2">
        <w:rPr>
          <w:rFonts w:ascii="Montserrat" w:hAnsi="Montserrat"/>
        </w:rPr>
        <w:t>. En agudo y dramático contraste, las comunas del sur, centro y occidente (Comunas 4, 7 y 9), que albergan la mayor densidad de población vulnerable y grandes agrupaciones de Vivienda de Interés Social (VIS) y Prioritaria (VIP), poseen apenas un 4% del área verde urbana total cada una</w:t>
      </w:r>
    </w:p>
    <w:p w:rsidR="008359D2" w:rsidRPr="008359D2" w:rsidRDefault="008359D2" w:rsidP="008359D2">
      <w:pPr>
        <w:jc w:val="both"/>
        <w:rPr>
          <w:rFonts w:ascii="Montserrat" w:hAnsi="Montserrat"/>
        </w:rPr>
      </w:pPr>
      <w:r w:rsidRPr="008359D2">
        <w:rPr>
          <w:rFonts w:ascii="Montserrat" w:hAnsi="Montserrat"/>
        </w:rPr>
        <w:t>. Esta segregación obliga a la población de menores ingresos a desertar de un entorno local hostil o a realizar extensos desplazamientos para acceder a equipamientos cualificados, induciendo fenómenos colaterales de hacinamiento intramuros y precarización del derecho a la ciudad.</w:t>
      </w:r>
    </w:p>
    <w:p w:rsidR="008359D2" w:rsidRPr="008359D2" w:rsidRDefault="008359D2" w:rsidP="008359D2">
      <w:pPr>
        <w:jc w:val="both"/>
        <w:rPr>
          <w:rFonts w:ascii="Montserrat" w:hAnsi="Montserrat"/>
        </w:rPr>
      </w:pPr>
      <w:r w:rsidRPr="008359D2">
        <w:rPr>
          <w:rFonts w:ascii="Montserrat" w:hAnsi="Montserrat"/>
        </w:rPr>
        <w:t>Tercer Nudo Gordiano: La Brecha Cartográfica y el Colapso de la Gobernanza de Datos. Radica en una deficiencia tecnológica e institucional insalvable frente al control de los bienes públicos. El seguimiento documental evidenció de manera contundente que la cartografía oficial del municipio sufre de una desarticulación anárquica; no se consolidó jamás una Infraestructura de Datos Espaciales (IDE) robusta y de acceso abierto</w:t>
      </w:r>
    </w:p>
    <w:p w:rsidR="008359D2" w:rsidRPr="008359D2" w:rsidRDefault="008359D2" w:rsidP="008359D2">
      <w:pPr>
        <w:jc w:val="both"/>
        <w:rPr>
          <w:rFonts w:ascii="Montserrat" w:hAnsi="Montserrat"/>
        </w:rPr>
      </w:pPr>
      <w:r w:rsidRPr="008359D2">
        <w:rPr>
          <w:rFonts w:ascii="Montserrat" w:hAnsi="Montserrat"/>
        </w:rPr>
        <w:t>. Informes de auditoría determinaron que, de los 103 planos del POT original de 2009, tan solo 11 fueron plenamente integrados y georreferenciados en el Sistema de Información Geográfica (SIG) municipal</w:t>
      </w:r>
    </w:p>
    <w:p w:rsidR="008359D2" w:rsidRPr="008359D2" w:rsidRDefault="008359D2" w:rsidP="008359D2">
      <w:pPr>
        <w:jc w:val="both"/>
        <w:rPr>
          <w:rFonts w:ascii="Montserrat" w:hAnsi="Montserrat"/>
        </w:rPr>
      </w:pPr>
      <w:r w:rsidRPr="008359D2">
        <w:rPr>
          <w:rFonts w:ascii="Montserrat" w:hAnsi="Montserrat"/>
        </w:rPr>
        <w:t>. Esta "ceguera técnica" ha imposibilitado auditar con precisión las áreas de cesión recibidas, cuantificar el inventario arbóreo real a nivel de detalle predial, y ejercer una defensa férrea del patrimonio público, facilitando escenarios como la invasión descontrolada de las franjas de retiro de las cañadas (con más de 8,188 viviendas informales identificadas) que anulan el desarrollo de l</w:t>
      </w:r>
      <w:r w:rsidRPr="008359D2">
        <w:rPr>
          <w:rFonts w:ascii="Montserrat" w:hAnsi="Montserrat"/>
        </w:rPr>
        <w:t>os proyectados parques lineales</w:t>
      </w:r>
    </w:p>
    <w:p w:rsidR="008359D2" w:rsidRPr="008359D2" w:rsidRDefault="008359D2" w:rsidP="008359D2">
      <w:pPr>
        <w:jc w:val="both"/>
        <w:rPr>
          <w:rFonts w:ascii="Montserrat" w:hAnsi="Montserrat"/>
        </w:rPr>
      </w:pPr>
      <w:r w:rsidRPr="008359D2">
        <w:rPr>
          <w:rFonts w:ascii="Montserrat" w:hAnsi="Montserrat"/>
        </w:rPr>
        <w:lastRenderedPageBreak/>
        <w:t>Cuarto Nudo Gordiano: La Crisis de Salubridad y la Pérdida del Valor Paisajístico. El diagnóstico trasciende la escasez de metros cuadrados para adentrarse en la habitabilidad del espacio existente. Los levantamientos empíricos del PGIRS revelan un escenario de insalubridad alarmante en la infraestructura peatonal y de esparcimiento: el 92% de las áreas de lavado público inspeccionadas presentan olores ofensivos, el 81% registra presencia de plagas y vectores, y el 77% exhibe fluidos corporales</w:t>
      </w:r>
    </w:p>
    <w:p w:rsidR="008359D2" w:rsidRPr="008359D2" w:rsidRDefault="008359D2" w:rsidP="008359D2">
      <w:pPr>
        <w:jc w:val="both"/>
        <w:rPr>
          <w:rFonts w:ascii="Montserrat" w:hAnsi="Montserrat"/>
        </w:rPr>
      </w:pPr>
      <w:r w:rsidRPr="008359D2">
        <w:rPr>
          <w:rFonts w:ascii="Montserrat" w:hAnsi="Montserrat"/>
        </w:rPr>
        <w:t>. Esta degradación física, sumada a la ausencia de puntos limpios que ha convertido a las laderas y andenes en botaderos clandestinos de RCD, disuade la apropiación ciudadana por percepción de inseguridad</w:t>
      </w:r>
    </w:p>
    <w:p w:rsidR="008359D2" w:rsidRPr="008359D2" w:rsidRDefault="008359D2" w:rsidP="008359D2">
      <w:pPr>
        <w:jc w:val="both"/>
        <w:rPr>
          <w:rFonts w:ascii="Montserrat" w:hAnsi="Montserrat"/>
        </w:rPr>
      </w:pPr>
      <w:r w:rsidRPr="008359D2">
        <w:rPr>
          <w:rFonts w:ascii="Montserrat" w:hAnsi="Montserrat"/>
        </w:rPr>
        <w:t>. En consecuencia, un 66.9% de la población manifiesta una profunda insatisfacción con el estado de conservación de sus parques y zonas verdes, confirmando la o</w:t>
      </w:r>
      <w:r w:rsidRPr="008359D2">
        <w:rPr>
          <w:rFonts w:ascii="Montserrat" w:hAnsi="Montserrat"/>
        </w:rPr>
        <w:t>bsolescencia del soporte urbano</w:t>
      </w:r>
    </w:p>
    <w:p w:rsidR="008359D2" w:rsidRPr="008359D2" w:rsidRDefault="008359D2" w:rsidP="008359D2">
      <w:pPr>
        <w:jc w:val="both"/>
        <w:rPr>
          <w:rFonts w:ascii="Montserrat" w:hAnsi="Montserrat"/>
          <w:b/>
        </w:rPr>
      </w:pPr>
      <w:r w:rsidRPr="008359D2">
        <w:rPr>
          <w:rFonts w:ascii="Montserrat" w:hAnsi="Montserrat"/>
          <w:b/>
        </w:rPr>
        <w:t>4. SEGUIMIENTO Y EVALUACIÓN DE LA EJECUCIÓN (2024-2025): LA PARÁLISIS MATERIAL DE LA PLANIFICACIÓN DEL ESPACIO PÚBLICO</w:t>
      </w:r>
    </w:p>
    <w:p w:rsidR="008359D2" w:rsidRPr="008359D2" w:rsidRDefault="008359D2" w:rsidP="008359D2">
      <w:pPr>
        <w:jc w:val="both"/>
        <w:rPr>
          <w:rFonts w:ascii="Montserrat" w:hAnsi="Montserrat"/>
        </w:rPr>
      </w:pPr>
      <w:r w:rsidRPr="008359D2">
        <w:rPr>
          <w:rFonts w:ascii="Montserrat" w:hAnsi="Montserrat"/>
        </w:rPr>
        <w:t>El análisis empírico y asertivo sobre la materialización física de las políticas en materia de bienes públicos se ha fundamentado integralmente en el "Documento de Seguimiento y Evaluación al POT vigente", instrumento emitido por el Departamento Administrativo de Planeación (2024-2025)</w:t>
      </w:r>
    </w:p>
    <w:p w:rsidR="008359D2" w:rsidRPr="008359D2" w:rsidRDefault="008359D2" w:rsidP="008359D2">
      <w:pPr>
        <w:jc w:val="both"/>
        <w:rPr>
          <w:rFonts w:ascii="Montserrat" w:hAnsi="Montserrat"/>
        </w:rPr>
      </w:pPr>
      <w:r w:rsidRPr="008359D2">
        <w:rPr>
          <w:rFonts w:ascii="Montserrat" w:hAnsi="Montserrat"/>
        </w:rPr>
        <w:t>. Dicho instrumento fue sometido a una disección minuciosa para auditar los indicadores de desempeño y el nivel de ejecución física de los programas y proyectos estructurantes del espacio público en los horizontes corto, mediano y largo plazo</w:t>
      </w:r>
    </w:p>
    <w:p w:rsidR="008359D2" w:rsidRPr="008359D2" w:rsidRDefault="008359D2" w:rsidP="008359D2">
      <w:pPr>
        <w:jc w:val="both"/>
        <w:rPr>
          <w:rFonts w:ascii="Montserrat" w:hAnsi="Montserrat"/>
        </w:rPr>
      </w:pPr>
      <w:r w:rsidRPr="008359D2">
        <w:rPr>
          <w:rFonts w:ascii="Montserrat" w:hAnsi="Montserrat"/>
        </w:rPr>
        <w:t>. Los resultados de este escrutinio arrojan un escenario de estancamiento crónico que cuestiona severamente la capacidad técnica, gerencial y fiscal del Estado local para materializar el paradigma de "Ciudad Paisaje".</w:t>
      </w:r>
    </w:p>
    <w:p w:rsidR="008359D2" w:rsidRPr="008359D2" w:rsidRDefault="008359D2" w:rsidP="008359D2">
      <w:pPr>
        <w:jc w:val="both"/>
        <w:rPr>
          <w:rFonts w:ascii="Montserrat" w:hAnsi="Montserrat"/>
        </w:rPr>
      </w:pPr>
      <w:r w:rsidRPr="008359D2">
        <w:rPr>
          <w:rFonts w:ascii="Montserrat" w:hAnsi="Montserrat"/>
        </w:rPr>
        <w:t>La evaluación cuantitativa del estado de ejecución devela una crisis sistémica de implementación institucional frente a lo público. Las estadísticas institucionales demuestran que, en el largo plazo, la categoría correspondiente al Sistema Estructurante de Bienes Públicos y Ciudadanía (y su interrelación con la Estructura Ecológica Principal) presenta el mayor volumen de iniciativas en estado "sin ejecutar"</w:t>
      </w:r>
    </w:p>
    <w:p w:rsidR="008359D2" w:rsidRPr="008359D2" w:rsidRDefault="008359D2" w:rsidP="008359D2">
      <w:pPr>
        <w:jc w:val="both"/>
        <w:rPr>
          <w:rFonts w:ascii="Montserrat" w:hAnsi="Montserrat"/>
        </w:rPr>
      </w:pPr>
      <w:r w:rsidRPr="008359D2">
        <w:rPr>
          <w:rFonts w:ascii="Montserrat" w:hAnsi="Montserrat"/>
        </w:rPr>
        <w:t>. Si bien la ciudad logró hitos puntuales en el corto plazo como la peatonalización de la Carrera 14 (Centro Comercial de Cielos Abiertos) y la revitalización del Parque de la Vida y la Plaza de Bolívar</w:t>
      </w:r>
    </w:p>
    <w:p w:rsidR="008359D2" w:rsidRPr="008359D2" w:rsidRDefault="008359D2" w:rsidP="008359D2">
      <w:pPr>
        <w:jc w:val="both"/>
        <w:rPr>
          <w:rFonts w:ascii="Montserrat" w:hAnsi="Montserrat"/>
        </w:rPr>
      </w:pPr>
      <w:r w:rsidRPr="008359D2">
        <w:rPr>
          <w:rFonts w:ascii="Montserrat" w:hAnsi="Montserrat"/>
        </w:rPr>
        <w:t>, las macro-intervenciones de carácter estructural quedaron confinadas al papel.</w:t>
      </w:r>
    </w:p>
    <w:p w:rsidR="008359D2" w:rsidRPr="008359D2" w:rsidRDefault="008359D2" w:rsidP="008359D2">
      <w:pPr>
        <w:jc w:val="both"/>
        <w:rPr>
          <w:rFonts w:ascii="Montserrat" w:hAnsi="Montserrat"/>
        </w:rPr>
      </w:pPr>
      <w:r w:rsidRPr="008359D2">
        <w:rPr>
          <w:rFonts w:ascii="Montserrat" w:hAnsi="Montserrat"/>
        </w:rPr>
        <w:t>Proyectos emblemáticos y de alto impacto sistémico, como la conformación del Parque Lineal Falla Armenia, la extensión ininterrumpida del Malecón Mirador de La Secreta y, fundamentalmente, la adecuación morfológica e hídrica de las 54 cañadas y quebradas urbanas para transformarlas en redes de parques lineales y conectores biológicos, sucumbieron invariablemente</w:t>
      </w:r>
    </w:p>
    <w:p w:rsidR="008359D2" w:rsidRPr="008359D2" w:rsidRDefault="008359D2" w:rsidP="008359D2">
      <w:pPr>
        <w:jc w:val="both"/>
        <w:rPr>
          <w:rFonts w:ascii="Montserrat" w:hAnsi="Montserrat"/>
        </w:rPr>
      </w:pPr>
      <w:r w:rsidRPr="008359D2">
        <w:rPr>
          <w:rFonts w:ascii="Montserrat" w:hAnsi="Montserrat"/>
        </w:rPr>
        <w:lastRenderedPageBreak/>
        <w:t>. El fracaso de estas iniciativas se atribuye a deficiencias crónicas en la fase de estructuración técnica (</w:t>
      </w:r>
      <w:proofErr w:type="spellStart"/>
      <w:r w:rsidRPr="008359D2">
        <w:rPr>
          <w:rFonts w:ascii="Montserrat" w:hAnsi="Montserrat"/>
        </w:rPr>
        <w:t>preinversión</w:t>
      </w:r>
      <w:proofErr w:type="spellEnd"/>
      <w:r w:rsidRPr="008359D2">
        <w:rPr>
          <w:rFonts w:ascii="Montserrat" w:hAnsi="Montserrat"/>
        </w:rPr>
        <w:t xml:space="preserve">), la incapacidad jurídica para adelantar adquisiciones prediales complejas de forma masiva, y la ya mencionada ausencia absoluta de esquemas robustos de financiación basados en instrumentos de captura de valor. En síntesis, el documento oficial de seguimiento confirma que el municipio priorizó el otorgamiento expedito de licencias constructivas orientadas a la rentabilidad del suelo privado, abdicando de su obligación concurrente de exigir, diseñar y ejecutar el gran sistema de espacio público necesario para otorgar soporte vital </w:t>
      </w:r>
      <w:r w:rsidRPr="008359D2">
        <w:rPr>
          <w:rFonts w:ascii="Montserrat" w:hAnsi="Montserrat"/>
        </w:rPr>
        <w:t>a la nueva densidad demográfica</w:t>
      </w:r>
    </w:p>
    <w:p w:rsidR="008359D2" w:rsidRPr="008359D2" w:rsidRDefault="008359D2" w:rsidP="008359D2">
      <w:pPr>
        <w:jc w:val="both"/>
        <w:rPr>
          <w:rFonts w:ascii="Montserrat" w:hAnsi="Montserrat"/>
          <w:b/>
        </w:rPr>
      </w:pPr>
      <w:r w:rsidRPr="008359D2">
        <w:rPr>
          <w:rFonts w:ascii="Montserrat" w:hAnsi="Montserrat"/>
          <w:b/>
        </w:rPr>
        <w:t>5. PROSPECTIVA DEL TRABAJO REALIZADO: LA RUTA HACIA UN ESPACIO PÚBLICO FUNCIONAL, VINCULANTE Y ECOLÓGICO</w:t>
      </w:r>
    </w:p>
    <w:p w:rsidR="008359D2" w:rsidRPr="008359D2" w:rsidRDefault="008359D2" w:rsidP="008359D2">
      <w:pPr>
        <w:jc w:val="both"/>
        <w:rPr>
          <w:rFonts w:ascii="Montserrat" w:hAnsi="Montserrat"/>
        </w:rPr>
      </w:pPr>
      <w:r w:rsidRPr="008359D2">
        <w:rPr>
          <w:rFonts w:ascii="Montserrat" w:hAnsi="Montserrat"/>
        </w:rPr>
        <w:t>El máximo rigor analítico y conceptual aplicado transversalmente en esta etapa de Sistematización Documental ha cumplido con suficiencia probatoria su cometido principal: demostrar empíricamente que la crisis del espacio público en Armenia no obedece a una falta de diagnósticos o ideas, sino a la debilidad institucional para someter el mercado inmobiliario a las necesidades del interés general. La consolidación exhaustiva de esta fase documental erige una base argumentativa inquebrantable, posicionándose como el prerrequisito ineludible y normativo para que el municipio pueda transitar responsablemente hacia la ac</w:t>
      </w:r>
      <w:r w:rsidRPr="008359D2">
        <w:rPr>
          <w:rFonts w:ascii="Montserrat" w:hAnsi="Montserrat"/>
        </w:rPr>
        <w:t>tualización de su POT 2027-2039</w:t>
      </w:r>
    </w:p>
    <w:p w:rsidR="008359D2" w:rsidRPr="008359D2" w:rsidRDefault="008359D2" w:rsidP="008359D2">
      <w:pPr>
        <w:jc w:val="both"/>
        <w:rPr>
          <w:rFonts w:ascii="Montserrat" w:hAnsi="Montserrat"/>
        </w:rPr>
      </w:pPr>
      <w:r w:rsidRPr="008359D2">
        <w:rPr>
          <w:rFonts w:ascii="Montserrat" w:hAnsi="Montserrat"/>
        </w:rPr>
        <w:t xml:space="preserve">La prospectiva territorial inmediata exige que el proceso planificador avance hacia la Fase 2 (Armonización Cartográfica). El reto monumental de esta fase consiste en la obligación insoslayable de </w:t>
      </w:r>
      <w:proofErr w:type="spellStart"/>
      <w:r w:rsidRPr="008359D2">
        <w:rPr>
          <w:rFonts w:ascii="Montserrat" w:hAnsi="Montserrat"/>
        </w:rPr>
        <w:t>espacializar</w:t>
      </w:r>
      <w:proofErr w:type="spellEnd"/>
      <w:r w:rsidRPr="008359D2">
        <w:rPr>
          <w:rFonts w:ascii="Montserrat" w:hAnsi="Montserrat"/>
        </w:rPr>
        <w:t xml:space="preserve"> toda la evidencia técnica recabada mediante la consolidación definitiva de una Infraestructura de Datos Espaciales (IDE)</w:t>
      </w:r>
    </w:p>
    <w:p w:rsidR="008359D2" w:rsidRPr="008359D2" w:rsidRDefault="008359D2" w:rsidP="008359D2">
      <w:pPr>
        <w:jc w:val="both"/>
        <w:rPr>
          <w:rFonts w:ascii="Montserrat" w:hAnsi="Montserrat"/>
        </w:rPr>
      </w:pPr>
      <w:r w:rsidRPr="008359D2">
        <w:rPr>
          <w:rFonts w:ascii="Montserrat" w:hAnsi="Montserrat"/>
        </w:rPr>
        <w:t>. Esta IDE deberá superponer, en un único repositorio geoespacial, el catastro multipropósito con el inventario real de cesiones urbanísticas, el mapa de calor que evidencie el déficit "cuadra a cuadra" de espacio público cualificado, y el inventario del arbolado urbano</w:t>
      </w:r>
    </w:p>
    <w:p w:rsidR="008359D2" w:rsidRPr="008359D2" w:rsidRDefault="008359D2" w:rsidP="008359D2">
      <w:pPr>
        <w:jc w:val="both"/>
        <w:rPr>
          <w:rFonts w:ascii="Montserrat" w:hAnsi="Montserrat"/>
        </w:rPr>
      </w:pPr>
      <w:r w:rsidRPr="008359D2">
        <w:rPr>
          <w:rFonts w:ascii="Montserrat" w:hAnsi="Montserrat"/>
        </w:rPr>
        <w:t xml:space="preserve">. Solo en el momento en que la carencia de áreas verdes sea </w:t>
      </w:r>
      <w:proofErr w:type="spellStart"/>
      <w:r w:rsidRPr="008359D2">
        <w:rPr>
          <w:rFonts w:ascii="Montserrat" w:hAnsi="Montserrat"/>
        </w:rPr>
        <w:t>espacializada</w:t>
      </w:r>
      <w:proofErr w:type="spellEnd"/>
      <w:r w:rsidRPr="008359D2">
        <w:rPr>
          <w:rFonts w:ascii="Montserrat" w:hAnsi="Montserrat"/>
        </w:rPr>
        <w:t xml:space="preserve"> con precisión métrica, la exigencia de compensaciones al sector privado dejará de ser una lotería de interpretaciones para convertirse en un mandato técnico inequívoco.</w:t>
      </w:r>
    </w:p>
    <w:p w:rsidR="008359D2" w:rsidRPr="008359D2" w:rsidRDefault="008359D2" w:rsidP="008359D2">
      <w:pPr>
        <w:jc w:val="both"/>
        <w:rPr>
          <w:rFonts w:ascii="Montserrat" w:hAnsi="Montserrat"/>
        </w:rPr>
      </w:pPr>
      <w:r w:rsidRPr="008359D2">
        <w:rPr>
          <w:rFonts w:ascii="Montserrat" w:hAnsi="Montserrat"/>
        </w:rPr>
        <w:t>De manera simultánea, la transición hacia la Fase 3 (Validación Ampliada y Cartografía Social) impone el desafío de la gobernanza democrática</w:t>
      </w:r>
    </w:p>
    <w:p w:rsidR="008359D2" w:rsidRPr="008359D2" w:rsidRDefault="008359D2" w:rsidP="008359D2">
      <w:pPr>
        <w:jc w:val="both"/>
        <w:rPr>
          <w:rFonts w:ascii="Montserrat" w:hAnsi="Montserrat"/>
        </w:rPr>
      </w:pPr>
      <w:r w:rsidRPr="008359D2">
        <w:rPr>
          <w:rFonts w:ascii="Montserrat" w:hAnsi="Montserrat"/>
        </w:rPr>
        <w:t xml:space="preserve">. El diagnóstico de la crisis del espacio público carecerá de aplicabilidad real si no se somete al escrutinio y legitimación mediante metodologías participativas y de </w:t>
      </w:r>
      <w:proofErr w:type="spellStart"/>
      <w:r w:rsidRPr="008359D2">
        <w:rPr>
          <w:rFonts w:ascii="Montserrat" w:hAnsi="Montserrat"/>
        </w:rPr>
        <w:t>co</w:t>
      </w:r>
      <w:proofErr w:type="spellEnd"/>
      <w:r w:rsidRPr="008359D2">
        <w:rPr>
          <w:rFonts w:ascii="Montserrat" w:hAnsi="Montserrat"/>
        </w:rPr>
        <w:t xml:space="preserve">-creación </w:t>
      </w:r>
      <w:proofErr w:type="spellStart"/>
      <w:r w:rsidRPr="008359D2">
        <w:rPr>
          <w:rFonts w:ascii="Montserrat" w:hAnsi="Montserrat"/>
        </w:rPr>
        <w:t>socioterritorial</w:t>
      </w:r>
      <w:proofErr w:type="spellEnd"/>
      <w:r w:rsidRPr="008359D2">
        <w:rPr>
          <w:rFonts w:ascii="Montserrat" w:hAnsi="Montserrat"/>
        </w:rPr>
        <w:t xml:space="preserve"> en cada una de las comunas. Es en el diseño colectivo de las plazas, paseos peatonales y parques de bolsillo donde la rigurosidad técnica debe nutrirse de las dinámicas de apropiación ciudadana, asegurando que el diseño final responda a la escala humana, la identidad cultural y las necesid</w:t>
      </w:r>
      <w:r w:rsidRPr="008359D2">
        <w:rPr>
          <w:rFonts w:ascii="Montserrat" w:hAnsi="Montserrat"/>
        </w:rPr>
        <w:t>ades de accesibilidad universal</w:t>
      </w:r>
    </w:p>
    <w:p w:rsidR="008359D2" w:rsidRPr="008359D2" w:rsidRDefault="008359D2" w:rsidP="008359D2">
      <w:pPr>
        <w:jc w:val="both"/>
        <w:rPr>
          <w:rFonts w:ascii="Montserrat" w:hAnsi="Montserrat"/>
        </w:rPr>
      </w:pPr>
      <w:r w:rsidRPr="008359D2">
        <w:rPr>
          <w:rFonts w:ascii="Montserrat" w:hAnsi="Montserrat"/>
        </w:rPr>
        <w:lastRenderedPageBreak/>
        <w:t>A modo de conclusión prospectiva y directriz innegociable, se dictamina que el nuevo Plan de Ordenamiento Territorial 2027-2039 debe abandonar definitivamente el caduco paradigma del "ordenamiento procedimental" para adoptar irrevocablemente los principios del "ordenamiento funcional" o "urbanismo del reparto"</w:t>
      </w:r>
    </w:p>
    <w:p w:rsidR="008359D2" w:rsidRPr="008359D2" w:rsidRDefault="008359D2" w:rsidP="008359D2">
      <w:pPr>
        <w:jc w:val="both"/>
        <w:rPr>
          <w:rFonts w:ascii="Montserrat" w:hAnsi="Montserrat"/>
        </w:rPr>
      </w:pPr>
      <w:r w:rsidRPr="008359D2">
        <w:rPr>
          <w:rFonts w:ascii="Montserrat" w:hAnsi="Montserrat"/>
        </w:rPr>
        <w:t>. Esto implica tres mandatos irrenunciables para el espacio público:</w:t>
      </w:r>
    </w:p>
    <w:p w:rsidR="008359D2" w:rsidRPr="008359D2" w:rsidRDefault="008359D2" w:rsidP="008359D2">
      <w:pPr>
        <w:jc w:val="both"/>
        <w:rPr>
          <w:rFonts w:ascii="Montserrat" w:hAnsi="Montserrat"/>
        </w:rPr>
      </w:pPr>
      <w:r w:rsidRPr="008359D2">
        <w:rPr>
          <w:rFonts w:ascii="Montserrat" w:hAnsi="Montserrat"/>
        </w:rPr>
        <w:t>Compra de Edificabilidad y Cargas Vinculantes: Todo aprovechamiento en altura debe ser tasado. Se debe hacer cumplir estrictamente esquemas de compensación donde se exija, por ejemplo, el equivalente a 0.02 metros cuadrados de espacio público dotado y cualificado por cada metr</w:t>
      </w:r>
      <w:r w:rsidRPr="008359D2">
        <w:rPr>
          <w:rFonts w:ascii="Montserrat" w:hAnsi="Montserrat"/>
        </w:rPr>
        <w:t>o cuadrado construido adicional</w:t>
      </w:r>
    </w:p>
    <w:p w:rsidR="008359D2" w:rsidRPr="008359D2" w:rsidRDefault="008359D2" w:rsidP="008359D2">
      <w:pPr>
        <w:jc w:val="both"/>
        <w:rPr>
          <w:rFonts w:ascii="Montserrat" w:hAnsi="Montserrat"/>
        </w:rPr>
      </w:pPr>
      <w:r w:rsidRPr="008359D2">
        <w:rPr>
          <w:rFonts w:ascii="Montserrat" w:hAnsi="Montserrat"/>
        </w:rPr>
        <w:t xml:space="preserve">Urbanismo Ecológico Integral: Las 54 microcuencas urbanas, que representan más de siete millones de metros cuadrados de suelo de protección, deben ser rediseñadas e intervenidas </w:t>
      </w:r>
      <w:proofErr w:type="spellStart"/>
      <w:r w:rsidRPr="008359D2">
        <w:rPr>
          <w:rFonts w:ascii="Montserrat" w:hAnsi="Montserrat"/>
        </w:rPr>
        <w:t>ecosistémicamente</w:t>
      </w:r>
      <w:proofErr w:type="spellEnd"/>
      <w:r w:rsidRPr="008359D2">
        <w:rPr>
          <w:rFonts w:ascii="Montserrat" w:hAnsi="Montserrat"/>
        </w:rPr>
        <w:t xml:space="preserve"> para funcionar como parques lineales y senderos de recreación pasiva, lo cual permitiría catapultar el índice de espacio público de la ciudad a 31</w:t>
      </w:r>
      <w:r w:rsidRPr="008359D2">
        <w:rPr>
          <w:rFonts w:ascii="Montserrat" w:hAnsi="Montserrat"/>
        </w:rPr>
        <w:t xml:space="preserve"> metros cuadrados por habitante</w:t>
      </w:r>
    </w:p>
    <w:p w:rsidR="008359D2" w:rsidRPr="008359D2" w:rsidRDefault="008359D2" w:rsidP="008359D2">
      <w:pPr>
        <w:jc w:val="both"/>
        <w:rPr>
          <w:rFonts w:ascii="Montserrat" w:hAnsi="Montserrat"/>
        </w:rPr>
      </w:pPr>
      <w:r w:rsidRPr="008359D2">
        <w:rPr>
          <w:rFonts w:ascii="Montserrat" w:hAnsi="Montserrat"/>
        </w:rPr>
        <w:t>Implementación de Ejes Peatonales Articuladores: La ciudad debe configurar una red de movilidad activa donde las aceras, los Paraderos con Espacio Público (PEP) y el patrimonio arquitectónico operen como un sistema continuo, sin interrupciones físicas ni b</w:t>
      </w:r>
      <w:r w:rsidRPr="008359D2">
        <w:rPr>
          <w:rFonts w:ascii="Montserrat" w:hAnsi="Montserrat"/>
        </w:rPr>
        <w:t>arreras urbanas</w:t>
      </w:r>
    </w:p>
    <w:p w:rsidR="00306F40" w:rsidRDefault="008359D2" w:rsidP="008359D2">
      <w:pPr>
        <w:jc w:val="both"/>
        <w:rPr>
          <w:rFonts w:ascii="Montserrat" w:hAnsi="Montserrat"/>
        </w:rPr>
      </w:pPr>
      <w:r w:rsidRPr="008359D2">
        <w:rPr>
          <w:rFonts w:ascii="Montserrat" w:hAnsi="Montserrat"/>
        </w:rPr>
        <w:t>Si la administración municipal no logra estructurar un modelo financiero y de gestión del suelo que obligue a la urbanización privada a financiar y construir el soporte público, el inminente ciclo de planificación estará condenado a replicar las patologías del fracaso que ha sido exhaustivamente auditado, sentenciando al municipio de Armenia a consolidarse como una densa aglomeración de edificios privados, pero carente de la vitalidad, la equidad y el esparcimiento que definen a una verdadera ciudad.</w:t>
      </w:r>
    </w:p>
    <w:p w:rsidR="00CA43EF" w:rsidRDefault="00CA43EF" w:rsidP="008359D2">
      <w:pPr>
        <w:jc w:val="both"/>
        <w:rPr>
          <w:rFonts w:ascii="Montserrat" w:hAnsi="Montserrat"/>
        </w:rPr>
      </w:pPr>
    </w:p>
    <w:p w:rsidR="00CA43EF" w:rsidRPr="00F12549" w:rsidRDefault="00CA43EF" w:rsidP="00CA43EF">
      <w:pPr>
        <w:jc w:val="both"/>
        <w:rPr>
          <w:rFonts w:ascii="Montserrat" w:hAnsi="Montserrat"/>
          <w:b/>
          <w:lang w:val="es-ES"/>
        </w:rPr>
      </w:pPr>
      <w:r w:rsidRPr="00F12549">
        <w:rPr>
          <w:rFonts w:ascii="Montserrat" w:hAnsi="Montserrat"/>
          <w:b/>
          <w:lang w:val="es-ES"/>
        </w:rPr>
        <w:t>DOCUMENTO TÉCNICO ESTRATÉGICO: TRAZABILIDAD METODOLÓGICA, JUSTIFICACIÓN EPISTEMOLÓGICA Y SUSTENTACIÓN PROBATORIA DEL DIAGNÓSTICO DEL SISTEMA DE ESPACIO PÚBLICO EN ARMENIA</w:t>
      </w:r>
      <w:bookmarkStart w:id="0" w:name="_GoBack"/>
      <w:bookmarkEnd w:id="0"/>
    </w:p>
    <w:p w:rsidR="00CA43EF" w:rsidRPr="00F12549" w:rsidRDefault="00CA43EF" w:rsidP="00CA43EF">
      <w:pPr>
        <w:jc w:val="both"/>
        <w:rPr>
          <w:rFonts w:ascii="Montserrat" w:hAnsi="Montserrat"/>
          <w:b/>
          <w:lang w:val="es-ES"/>
        </w:rPr>
      </w:pPr>
      <w:r w:rsidRPr="00F12549">
        <w:rPr>
          <w:rFonts w:ascii="Montserrat" w:hAnsi="Montserrat"/>
          <w:b/>
          <w:lang w:val="es-ES"/>
        </w:rPr>
        <w:t>1. INTRODUCCIÓN: EL TRÁNSITO HACIA UNA PLANEACIÓN VERIFICABLE Y FUNCIONAL</w:t>
      </w:r>
    </w:p>
    <w:p w:rsidR="00CA43EF" w:rsidRPr="00CA43EF" w:rsidRDefault="00CA43EF" w:rsidP="00CA43EF">
      <w:pPr>
        <w:jc w:val="both"/>
        <w:rPr>
          <w:rFonts w:ascii="Montserrat" w:hAnsi="Montserrat"/>
          <w:lang w:val="es-ES"/>
        </w:rPr>
      </w:pPr>
      <w:r w:rsidRPr="00CA43EF">
        <w:rPr>
          <w:rFonts w:ascii="Montserrat" w:hAnsi="Montserrat"/>
          <w:lang w:val="es-ES"/>
        </w:rPr>
        <w:t>Desde la óptica de la consultoría experta y bajo el rigor analítico propio d</w:t>
      </w:r>
      <w:r w:rsidR="00551D6D">
        <w:rPr>
          <w:rFonts w:ascii="Montserrat" w:hAnsi="Montserrat"/>
          <w:lang w:val="es-ES"/>
        </w:rPr>
        <w:t>e un ejercicio de nivel técnico experto</w:t>
      </w:r>
      <w:r w:rsidRPr="00CA43EF">
        <w:rPr>
          <w:rFonts w:ascii="Montserrat" w:hAnsi="Montserrat"/>
          <w:lang w:val="es-ES"/>
        </w:rPr>
        <w:t xml:space="preserve"> en planificación urbana, el presente documento tiene como propósito fundamental exponer, transparentar y justificar la arquitectura procedimental que rige la construcción del diagnóstico del Sistema Estructurante de Bienes Públicos y Ciudadanía (Espacio Público) del municipio de Armenia. Responder a la complejidad territorial exige superar de manera definitiva el obsoleto paradigma de la "planeación declarativa" —basada en percepciones subjetivas, inercias </w:t>
      </w:r>
      <w:r w:rsidRPr="00CA43EF">
        <w:rPr>
          <w:rFonts w:ascii="Montserrat" w:hAnsi="Montserrat"/>
          <w:lang w:val="es-ES"/>
        </w:rPr>
        <w:lastRenderedPageBreak/>
        <w:t>administrativas o listas de deseos— para instaurar un modelo de "plan</w:t>
      </w:r>
      <w:r>
        <w:rPr>
          <w:rFonts w:ascii="Montserrat" w:hAnsi="Montserrat"/>
          <w:lang w:val="es-ES"/>
        </w:rPr>
        <w:t>eación verificable" y funcional</w:t>
      </w:r>
    </w:p>
    <w:p w:rsidR="00CA43EF" w:rsidRPr="00CA43EF" w:rsidRDefault="00CA43EF" w:rsidP="00CA43EF">
      <w:pPr>
        <w:jc w:val="both"/>
        <w:rPr>
          <w:rFonts w:ascii="Montserrat" w:hAnsi="Montserrat"/>
          <w:lang w:val="es-ES"/>
        </w:rPr>
      </w:pPr>
      <w:r w:rsidRPr="00CA43EF">
        <w:rPr>
          <w:rFonts w:ascii="Montserrat" w:hAnsi="Montserrat"/>
          <w:lang w:val="es-ES"/>
        </w:rPr>
        <w:t>En este sentido, las aseveraciones, críticas y prospectivas emitidas sobre el desarrollo urbano de la ciudad no constituyen juicios de valor ni apreciaciones infundadas. Por el contrario, representan el resultado ineludible de la aplicación estricta de la "Ruta de implementación para la elaboración del diagnóstico del POT vigente" y de la "Estructura del Documento de Brechas Documentales"</w:t>
      </w:r>
    </w:p>
    <w:p w:rsidR="00CA43EF" w:rsidRPr="00CA43EF" w:rsidRDefault="00CA43EF" w:rsidP="00CA43EF">
      <w:pPr>
        <w:jc w:val="both"/>
        <w:rPr>
          <w:rFonts w:ascii="Montserrat" w:hAnsi="Montserrat"/>
          <w:lang w:val="es-ES"/>
        </w:rPr>
      </w:pPr>
      <w:r w:rsidRPr="00CA43EF">
        <w:rPr>
          <w:rFonts w:ascii="Montserrat" w:hAnsi="Montserrat"/>
          <w:lang w:val="es-ES"/>
        </w:rPr>
        <w:t>. Este escrito detalla pormenorizadamente el procedimiento metodológico ejecutado hasta la etapa actual (Fase 1: Sistematización Documental) y sustenta por qué dicha praxis científica e institucional fundamenta de manera irrefutable cada una de las conclusiones entregadas sobre la crisis sistémica del espacio público en la capital del Quindío.</w:t>
      </w:r>
    </w:p>
    <w:p w:rsidR="00CA43EF" w:rsidRPr="00F12549" w:rsidRDefault="00CA43EF" w:rsidP="00CA43EF">
      <w:pPr>
        <w:jc w:val="both"/>
        <w:rPr>
          <w:rFonts w:ascii="Montserrat" w:hAnsi="Montserrat"/>
          <w:b/>
          <w:lang w:val="es-ES"/>
        </w:rPr>
      </w:pPr>
      <w:r w:rsidRPr="00F12549">
        <w:rPr>
          <w:rFonts w:ascii="Montserrat" w:hAnsi="Montserrat"/>
          <w:b/>
          <w:lang w:val="es-ES"/>
        </w:rPr>
        <w:t>2. DIMENSIÓN MACRO-PROCEDIMENTAL: LA FASE DE SISTEMATIZACIÓN Y CURADURÍA DOCUMENTAL</w:t>
      </w:r>
    </w:p>
    <w:p w:rsidR="00CA43EF" w:rsidRPr="00CA43EF" w:rsidRDefault="00CA43EF" w:rsidP="00CA43EF">
      <w:pPr>
        <w:jc w:val="both"/>
        <w:rPr>
          <w:rFonts w:ascii="Montserrat" w:hAnsi="Montserrat"/>
          <w:lang w:val="es-ES"/>
        </w:rPr>
      </w:pPr>
      <w:r w:rsidRPr="00CA43EF">
        <w:rPr>
          <w:rFonts w:ascii="Montserrat" w:hAnsi="Montserrat"/>
          <w:lang w:val="es-ES"/>
        </w:rPr>
        <w:t>El trabajo desarrollado se enmarca rigurosamente en la primera fase del diseño metodológico oficial: el inventario documental y la sistematización</w:t>
      </w:r>
    </w:p>
    <w:p w:rsidR="00CA43EF" w:rsidRPr="00CA43EF" w:rsidRDefault="00CA43EF" w:rsidP="00CA43EF">
      <w:pPr>
        <w:jc w:val="both"/>
        <w:rPr>
          <w:rFonts w:ascii="Montserrat" w:hAnsi="Montserrat"/>
          <w:lang w:val="es-ES"/>
        </w:rPr>
      </w:pPr>
      <w:r w:rsidRPr="00CA43EF">
        <w:rPr>
          <w:rFonts w:ascii="Montserrat" w:hAnsi="Montserrat"/>
          <w:lang w:val="es-ES"/>
        </w:rPr>
        <w:t>. Esta etapa se erige como el cimiento epistemológico del diagnóstico territorial, asumiendo como premisa innegociable que la calidad, legalidad y viabilidad de la política pública futura están directamente subordinadas a la pertinencia, vigencia y jerarquía normativa de</w:t>
      </w:r>
      <w:r>
        <w:rPr>
          <w:rFonts w:ascii="Montserrat" w:hAnsi="Montserrat"/>
          <w:lang w:val="es-ES"/>
        </w:rPr>
        <w:t>l soporte documental disponible</w:t>
      </w:r>
    </w:p>
    <w:p w:rsidR="00CA43EF" w:rsidRPr="00CA43EF" w:rsidRDefault="00CA43EF" w:rsidP="00CA43EF">
      <w:pPr>
        <w:jc w:val="both"/>
        <w:rPr>
          <w:rFonts w:ascii="Montserrat" w:hAnsi="Montserrat"/>
          <w:lang w:val="es-ES"/>
        </w:rPr>
      </w:pPr>
      <w:r w:rsidRPr="00CA43EF">
        <w:rPr>
          <w:rFonts w:ascii="Montserrat" w:hAnsi="Montserrat"/>
          <w:lang w:val="es-ES"/>
        </w:rPr>
        <w:t>El procedimiento ejecutado trasciende la recopilación pasiva de archivos para operar bajo un esquema de curaduría técnica y auditoría documental integral, cuyo objetivo es reconstruir la memoria técnica e institucional del municipio entre los años 1999 y 2025. Para lograrlo, se han abordado las siguientes sub-etapas procedimentales:</w:t>
      </w:r>
    </w:p>
    <w:p w:rsidR="00CA43EF" w:rsidRPr="00CA43EF" w:rsidRDefault="00CA43EF" w:rsidP="00CA43EF">
      <w:pPr>
        <w:jc w:val="both"/>
        <w:rPr>
          <w:rFonts w:ascii="Montserrat" w:hAnsi="Montserrat"/>
          <w:lang w:val="es-ES"/>
        </w:rPr>
      </w:pPr>
      <w:r w:rsidRPr="00CA43EF">
        <w:rPr>
          <w:rFonts w:ascii="Montserrat" w:hAnsi="Montserrat"/>
          <w:lang w:val="es-ES"/>
        </w:rPr>
        <w:t>Levantamiento y Clasificación Temática: Se ha identificado y depurado la totalidad de la producción documental vinculada al POT (Acuerdo 019 de 2009), clasificándola según el Glosario Técnico en: Instrumentos de Ordenamiento Territorial, Normas Urbanísticas, Documentos Técnicos de Soporte (DTS), Actos Administrativos de Adopción y Estudios Técni</w:t>
      </w:r>
      <w:r>
        <w:rPr>
          <w:rFonts w:ascii="Montserrat" w:hAnsi="Montserrat"/>
          <w:lang w:val="es-ES"/>
        </w:rPr>
        <w:t>cos Sectoriales Complementarios</w:t>
      </w:r>
    </w:p>
    <w:p w:rsidR="00CA43EF" w:rsidRPr="00CA43EF" w:rsidRDefault="00CA43EF" w:rsidP="00CA43EF">
      <w:pPr>
        <w:jc w:val="both"/>
        <w:rPr>
          <w:rFonts w:ascii="Montserrat" w:hAnsi="Montserrat"/>
          <w:lang w:val="es-ES"/>
        </w:rPr>
      </w:pPr>
      <w:r w:rsidRPr="00CA43EF">
        <w:rPr>
          <w:rFonts w:ascii="Montserrat" w:hAnsi="Montserrat"/>
          <w:lang w:val="es-ES"/>
        </w:rPr>
        <w:t>Evaluación de Consistencia Normativa: Se ha procedido a contrastar los preceptos originarios del POT frente a instrumentos de planificación expedidos posteriormente, tales como los Planes Especiales de Manejo y Protección (PEMP del Complejo Cultural de la Estación del Ferrocarril)</w:t>
      </w:r>
    </w:p>
    <w:p w:rsidR="00CA43EF" w:rsidRPr="00CA43EF" w:rsidRDefault="00CA43EF" w:rsidP="00CA43EF">
      <w:pPr>
        <w:jc w:val="both"/>
        <w:rPr>
          <w:rFonts w:ascii="Montserrat" w:hAnsi="Montserrat"/>
          <w:lang w:val="es-ES"/>
        </w:rPr>
      </w:pPr>
      <w:r w:rsidRPr="00CA43EF">
        <w:rPr>
          <w:rFonts w:ascii="Montserrat" w:hAnsi="Montserrat"/>
          <w:lang w:val="es-ES"/>
        </w:rPr>
        <w:t xml:space="preserve"> y las modificaciones de norma urbanística (Acuerdo 304 de 2024)</w:t>
      </w:r>
    </w:p>
    <w:p w:rsidR="00CA43EF" w:rsidRPr="00CA43EF" w:rsidRDefault="00CA43EF" w:rsidP="00CA43EF">
      <w:pPr>
        <w:jc w:val="both"/>
        <w:rPr>
          <w:rFonts w:ascii="Montserrat" w:hAnsi="Montserrat"/>
          <w:lang w:val="es-ES"/>
        </w:rPr>
      </w:pPr>
      <w:r w:rsidRPr="00CA43EF">
        <w:rPr>
          <w:rFonts w:ascii="Montserrat" w:hAnsi="Montserrat"/>
          <w:lang w:val="es-ES"/>
        </w:rPr>
        <w:t>Fichaje Técnico-Analítico: Se extrajeron los metadatos y se evaluó la densidad analítica y la escala espacial de cada documento, estableciendo con rigor científico qué información ostenta validez técnica y qué vacíos temáticos deben ser declarados formalme</w:t>
      </w:r>
      <w:r>
        <w:rPr>
          <w:rFonts w:ascii="Montserrat" w:hAnsi="Montserrat"/>
          <w:lang w:val="es-ES"/>
        </w:rPr>
        <w:t>nte como "brechas documentales"</w:t>
      </w:r>
    </w:p>
    <w:p w:rsidR="00CA43EF" w:rsidRPr="00CA43EF" w:rsidRDefault="00CA43EF" w:rsidP="00CA43EF">
      <w:pPr>
        <w:jc w:val="both"/>
        <w:rPr>
          <w:rFonts w:ascii="Montserrat" w:hAnsi="Montserrat"/>
          <w:lang w:val="es-ES"/>
        </w:rPr>
      </w:pPr>
      <w:r w:rsidRPr="00CA43EF">
        <w:rPr>
          <w:rFonts w:ascii="Montserrat" w:hAnsi="Montserrat"/>
          <w:lang w:val="es-ES"/>
        </w:rPr>
        <w:lastRenderedPageBreak/>
        <w:t>La ejecución exhaustiva de esta fase garantiza que todo análisis sobre la morfología y habitabilidad del espacio público esté cimentado exclusivamente en evidencia probatoria, blindando el diagnóstico frente a vulnerabili</w:t>
      </w:r>
      <w:r>
        <w:rPr>
          <w:rFonts w:ascii="Montserrat" w:hAnsi="Montserrat"/>
          <w:lang w:val="es-ES"/>
        </w:rPr>
        <w:t>dades metodológicas y jurídicas</w:t>
      </w:r>
    </w:p>
    <w:p w:rsidR="00CA43EF" w:rsidRPr="00F12549" w:rsidRDefault="00CA43EF" w:rsidP="00CA43EF">
      <w:pPr>
        <w:jc w:val="both"/>
        <w:rPr>
          <w:rFonts w:ascii="Montserrat" w:hAnsi="Montserrat"/>
          <w:b/>
          <w:lang w:val="es-ES"/>
        </w:rPr>
      </w:pPr>
      <w:r w:rsidRPr="00F12549">
        <w:rPr>
          <w:rFonts w:ascii="Montserrat" w:hAnsi="Montserrat"/>
          <w:b/>
          <w:lang w:val="es-ES"/>
        </w:rPr>
        <w:t>3. DIMENSIÓN MICRO-PROCEDIMENTAL: APLICACIÓN DE LA RUTA OPERATIVA DE LOS SEIS PASOS Y JUSTIFICACIÓN DE HALLAZGOS</w:t>
      </w:r>
    </w:p>
    <w:p w:rsidR="00CA43EF" w:rsidRPr="00CA43EF" w:rsidRDefault="00CA43EF" w:rsidP="00CA43EF">
      <w:pPr>
        <w:jc w:val="both"/>
        <w:rPr>
          <w:rFonts w:ascii="Montserrat" w:hAnsi="Montserrat"/>
          <w:lang w:val="es-ES"/>
        </w:rPr>
      </w:pPr>
      <w:r w:rsidRPr="00CA43EF">
        <w:rPr>
          <w:rFonts w:ascii="Montserrat" w:hAnsi="Montserrat"/>
          <w:lang w:val="es-ES"/>
        </w:rPr>
        <w:t>Para garantizar que el diagnóstico documental se construya con trazabilidad absoluta, se aplicó la regla operativa "Paso a Paso" establecida en los lineamientos metodológicos nacionales y locales para la evaluación de sistemas estructurantes</w:t>
      </w:r>
    </w:p>
    <w:p w:rsidR="00CA43EF" w:rsidRPr="00CA43EF" w:rsidRDefault="00CA43EF" w:rsidP="00CA43EF">
      <w:pPr>
        <w:jc w:val="both"/>
        <w:rPr>
          <w:rFonts w:ascii="Montserrat" w:hAnsi="Montserrat"/>
          <w:lang w:val="es-ES"/>
        </w:rPr>
      </w:pPr>
      <w:r w:rsidRPr="00CA43EF">
        <w:rPr>
          <w:rFonts w:ascii="Montserrat" w:hAnsi="Montserrat"/>
          <w:lang w:val="es-ES"/>
        </w:rPr>
        <w:t>. A continuación, se demuestra procedimentalmente cómo la aplicación de estos pasos (Identificación, Evaluación de Suficiencia, Redacción, Argumentación, Identificación de Brecha y Acción de Cierre) deriva en las aseveraciones concluyentes sobre el estado del Espacio Público:</w:t>
      </w:r>
    </w:p>
    <w:p w:rsidR="00CA43EF" w:rsidRPr="00CA43EF" w:rsidRDefault="00CA43EF" w:rsidP="00CA43EF">
      <w:pPr>
        <w:jc w:val="both"/>
        <w:rPr>
          <w:rFonts w:ascii="Montserrat" w:hAnsi="Montserrat"/>
          <w:lang w:val="es-ES"/>
        </w:rPr>
      </w:pPr>
      <w:r w:rsidRPr="00CA43EF">
        <w:rPr>
          <w:rFonts w:ascii="Montserrat" w:hAnsi="Montserrat"/>
          <w:lang w:val="es-ES"/>
        </w:rPr>
        <w:t>3.1. Justificación Procedimental del Hallazgo: "El Déficit Cualitativo y Cuantitativo del Espacio Público (5.7 m²/</w:t>
      </w:r>
      <w:proofErr w:type="spellStart"/>
      <w:r w:rsidRPr="00CA43EF">
        <w:rPr>
          <w:rFonts w:ascii="Montserrat" w:hAnsi="Montserrat"/>
          <w:lang w:val="es-ES"/>
        </w:rPr>
        <w:t>hab</w:t>
      </w:r>
      <w:proofErr w:type="spellEnd"/>
      <w:r w:rsidRPr="00CA43EF">
        <w:rPr>
          <w:rFonts w:ascii="Montserrat" w:hAnsi="Montserrat"/>
          <w:lang w:val="es-ES"/>
        </w:rPr>
        <w:t>)"</w:t>
      </w:r>
    </w:p>
    <w:p w:rsidR="00CA43EF" w:rsidRPr="00CA43EF" w:rsidRDefault="00CA43EF" w:rsidP="00CA43EF">
      <w:pPr>
        <w:jc w:val="both"/>
        <w:rPr>
          <w:rFonts w:ascii="Montserrat" w:hAnsi="Montserrat"/>
          <w:lang w:val="es-ES"/>
        </w:rPr>
      </w:pPr>
      <w:r w:rsidRPr="00CA43EF">
        <w:rPr>
          <w:rFonts w:ascii="Montserrat" w:hAnsi="Montserrat"/>
          <w:lang w:val="es-ES"/>
        </w:rPr>
        <w:t>La afirmación de que Armenia enfrenta un colapso en la provisión de espacio público, con índices de áreas verdes cualificadas que descienden a niveles críticos de 4.2 m²/</w:t>
      </w:r>
      <w:proofErr w:type="spellStart"/>
      <w:r w:rsidRPr="00CA43EF">
        <w:rPr>
          <w:rFonts w:ascii="Montserrat" w:hAnsi="Montserrat"/>
          <w:lang w:val="es-ES"/>
        </w:rPr>
        <w:t>hab</w:t>
      </w:r>
      <w:proofErr w:type="spellEnd"/>
      <w:r w:rsidRPr="00CA43EF">
        <w:rPr>
          <w:rFonts w:ascii="Montserrat" w:hAnsi="Montserrat"/>
          <w:lang w:val="es-ES"/>
        </w:rPr>
        <w:t xml:space="preserve"> (y promedios generales de 3.4 a 5.7 m²/</w:t>
      </w:r>
      <w:proofErr w:type="spellStart"/>
      <w:r w:rsidRPr="00CA43EF">
        <w:rPr>
          <w:rFonts w:ascii="Montserrat" w:hAnsi="Montserrat"/>
          <w:lang w:val="es-ES"/>
        </w:rPr>
        <w:t>hab</w:t>
      </w:r>
      <w:proofErr w:type="spellEnd"/>
      <w:r w:rsidRPr="00CA43EF">
        <w:rPr>
          <w:rFonts w:ascii="Montserrat" w:hAnsi="Montserrat"/>
          <w:lang w:val="es-ES"/>
        </w:rPr>
        <w:t>), surge del siguiente proceso analítico:</w:t>
      </w:r>
    </w:p>
    <w:p w:rsidR="00CA43EF" w:rsidRPr="00CA43EF" w:rsidRDefault="00CA43EF" w:rsidP="00CA43EF">
      <w:pPr>
        <w:jc w:val="both"/>
        <w:rPr>
          <w:rFonts w:ascii="Montserrat" w:hAnsi="Montserrat"/>
          <w:lang w:val="es-ES"/>
        </w:rPr>
      </w:pPr>
      <w:r w:rsidRPr="00CA43EF">
        <w:rPr>
          <w:rFonts w:ascii="Montserrat" w:hAnsi="Montserrat"/>
          <w:lang w:val="es-ES"/>
        </w:rPr>
        <w:t>Paso 1 (Identificación de fuentes): Se seleccionó el "Documento de Seguimiento y Evaluación al POT" (2024-2025)</w:t>
      </w:r>
    </w:p>
    <w:p w:rsidR="00CA43EF" w:rsidRPr="00CA43EF" w:rsidRDefault="00CA43EF" w:rsidP="00CA43EF">
      <w:pPr>
        <w:jc w:val="both"/>
        <w:rPr>
          <w:rFonts w:ascii="Montserrat" w:hAnsi="Montserrat"/>
          <w:lang w:val="es-ES"/>
        </w:rPr>
      </w:pPr>
      <w:r w:rsidRPr="00CA43EF">
        <w:rPr>
          <w:rFonts w:ascii="Montserrat" w:hAnsi="Montserrat"/>
          <w:lang w:val="es-ES"/>
        </w:rPr>
        <w:t>, el "Volumen 4A - Componente General del POT"</w:t>
      </w:r>
    </w:p>
    <w:p w:rsidR="00CA43EF" w:rsidRPr="00CA43EF" w:rsidRDefault="00CA43EF" w:rsidP="00CA43EF">
      <w:pPr>
        <w:jc w:val="both"/>
        <w:rPr>
          <w:rFonts w:ascii="Montserrat" w:hAnsi="Montserrat"/>
          <w:lang w:val="es-ES"/>
        </w:rPr>
      </w:pPr>
      <w:r w:rsidRPr="00CA43EF">
        <w:rPr>
          <w:rFonts w:ascii="Montserrat" w:hAnsi="Montserrat"/>
          <w:lang w:val="es-ES"/>
        </w:rPr>
        <w:t>, y el diagnós</w:t>
      </w:r>
      <w:r>
        <w:rPr>
          <w:rFonts w:ascii="Montserrat" w:hAnsi="Montserrat"/>
          <w:lang w:val="es-ES"/>
        </w:rPr>
        <w:t>tico del Componente de Vivienda</w:t>
      </w:r>
    </w:p>
    <w:p w:rsidR="00CA43EF" w:rsidRPr="00CA43EF" w:rsidRDefault="00CA43EF" w:rsidP="00CA43EF">
      <w:pPr>
        <w:jc w:val="both"/>
        <w:rPr>
          <w:rFonts w:ascii="Montserrat" w:hAnsi="Montserrat"/>
          <w:lang w:val="es-ES"/>
        </w:rPr>
      </w:pPr>
      <w:r w:rsidRPr="00CA43EF">
        <w:rPr>
          <w:rFonts w:ascii="Montserrat" w:hAnsi="Montserrat"/>
          <w:lang w:val="es-ES"/>
        </w:rPr>
        <w:t>Paso 2 (Evaluación de suficiencia): Se determinó que la evidencia es Completa para el diagnóstico estadístico, pero Insuficiente en términos de materialización funcional. La meta fundacional del POT de instaurar un "Urbanismo Ecológico", articulando las 54 microcuencas como espacio público, jamás se reflejó en los indicadores de consolidación urbana</w:t>
      </w:r>
    </w:p>
    <w:p w:rsidR="00CA43EF" w:rsidRPr="00CA43EF" w:rsidRDefault="00CA43EF" w:rsidP="00CA43EF">
      <w:pPr>
        <w:jc w:val="both"/>
        <w:rPr>
          <w:rFonts w:ascii="Montserrat" w:hAnsi="Montserrat"/>
          <w:lang w:val="es-ES"/>
        </w:rPr>
      </w:pPr>
      <w:r w:rsidRPr="00CA43EF">
        <w:rPr>
          <w:rFonts w:ascii="Montserrat" w:hAnsi="Montserrat"/>
          <w:lang w:val="es-ES"/>
        </w:rPr>
        <w:t>Paso 4 (Argumentación con soporte): El análisis de licencias y seguimientos demuestra empíricamente que el otorgamiento de edificabilidad en altura —especialmente en los ejes de la Avenida Centenario y el sector norte— no estuvo condicionado a la recepción de cesiones urbanísticas funcionales y proporcionales</w:t>
      </w:r>
    </w:p>
    <w:p w:rsidR="00CA43EF" w:rsidRPr="00CA43EF" w:rsidRDefault="00CA43EF" w:rsidP="00CA43EF">
      <w:pPr>
        <w:jc w:val="both"/>
        <w:rPr>
          <w:rFonts w:ascii="Montserrat" w:hAnsi="Montserrat"/>
          <w:lang w:val="es-ES"/>
        </w:rPr>
      </w:pPr>
      <w:r w:rsidRPr="00CA43EF">
        <w:rPr>
          <w:rFonts w:ascii="Montserrat" w:hAnsi="Montserrat"/>
          <w:lang w:val="es-ES"/>
        </w:rPr>
        <w:t xml:space="preserve">. Las entregas se limitaron </w:t>
      </w:r>
      <w:r>
        <w:rPr>
          <w:rFonts w:ascii="Montserrat" w:hAnsi="Montserrat"/>
          <w:lang w:val="es-ES"/>
        </w:rPr>
        <w:t>a retazos topográficos inútiles</w:t>
      </w:r>
    </w:p>
    <w:p w:rsidR="00CA43EF" w:rsidRPr="00CA43EF" w:rsidRDefault="00CA43EF" w:rsidP="00CA43EF">
      <w:pPr>
        <w:jc w:val="both"/>
        <w:rPr>
          <w:rFonts w:ascii="Montserrat" w:hAnsi="Montserrat"/>
          <w:lang w:val="es-ES"/>
        </w:rPr>
      </w:pPr>
      <w:r w:rsidRPr="00CA43EF">
        <w:rPr>
          <w:rFonts w:ascii="Montserrat" w:hAnsi="Montserrat"/>
          <w:lang w:val="es-ES"/>
        </w:rPr>
        <w:t xml:space="preserve">Paso 5 (Identificación de la Brecha): Se tipifica una Brecha de Aplicabilidad y de Articulación Territorial. La normativa proteccionista existía en el documento técnico, pero no se </w:t>
      </w:r>
      <w:proofErr w:type="spellStart"/>
      <w:r w:rsidRPr="00CA43EF">
        <w:rPr>
          <w:rFonts w:ascii="Montserrat" w:hAnsi="Montserrat"/>
          <w:lang w:val="es-ES"/>
        </w:rPr>
        <w:t>operativizó</w:t>
      </w:r>
      <w:proofErr w:type="spellEnd"/>
      <w:r w:rsidRPr="00CA43EF">
        <w:rPr>
          <w:rFonts w:ascii="Montserrat" w:hAnsi="Montserrat"/>
          <w:lang w:val="es-ES"/>
        </w:rPr>
        <w:t xml:space="preserve"> en el espacio geográfico. Esta discrepancia probatoria obliga a concluir objetivamente que la ciudad padeció un modelo de densificación inercial, construyendo edificaciones privadas en </w:t>
      </w:r>
      <w:r>
        <w:rPr>
          <w:rFonts w:ascii="Montserrat" w:hAnsi="Montserrat"/>
          <w:lang w:val="es-ES"/>
        </w:rPr>
        <w:t>detrimento de la ciudad pública</w:t>
      </w:r>
    </w:p>
    <w:p w:rsidR="00CA43EF" w:rsidRPr="00CA43EF" w:rsidRDefault="00CA43EF" w:rsidP="00CA43EF">
      <w:pPr>
        <w:jc w:val="both"/>
        <w:rPr>
          <w:rFonts w:ascii="Montserrat" w:hAnsi="Montserrat"/>
          <w:lang w:val="es-ES"/>
        </w:rPr>
      </w:pPr>
      <w:r w:rsidRPr="00CA43EF">
        <w:rPr>
          <w:rFonts w:ascii="Montserrat" w:hAnsi="Montserrat"/>
          <w:lang w:val="es-ES"/>
        </w:rPr>
        <w:lastRenderedPageBreak/>
        <w:t>3.2. Justificación Procedimental del Hallazgo: "La Crisis de Salubridad y la Falla del Manual de Espacio Público"</w:t>
      </w:r>
    </w:p>
    <w:p w:rsidR="00CA43EF" w:rsidRPr="00CA43EF" w:rsidRDefault="00CA43EF" w:rsidP="00CA43EF">
      <w:pPr>
        <w:jc w:val="both"/>
        <w:rPr>
          <w:rFonts w:ascii="Montserrat" w:hAnsi="Montserrat"/>
          <w:lang w:val="es-ES"/>
        </w:rPr>
      </w:pPr>
      <w:r w:rsidRPr="00CA43EF">
        <w:rPr>
          <w:rFonts w:ascii="Montserrat" w:hAnsi="Montserrat"/>
          <w:lang w:val="es-ES"/>
        </w:rPr>
        <w:t>El diagnóstico dictamina que un altísimo porcentaje de las infraestructuras peatonales presentan condiciones de insalubridad que repelen la apropiación ciudadana. Esta conclusión se fundamenta así:</w:t>
      </w:r>
    </w:p>
    <w:p w:rsidR="00CA43EF" w:rsidRPr="00CA43EF" w:rsidRDefault="00CA43EF" w:rsidP="00CA43EF">
      <w:pPr>
        <w:jc w:val="both"/>
        <w:rPr>
          <w:rFonts w:ascii="Montserrat" w:hAnsi="Montserrat"/>
          <w:lang w:val="es-ES"/>
        </w:rPr>
      </w:pPr>
      <w:r w:rsidRPr="00CA43EF">
        <w:rPr>
          <w:rFonts w:ascii="Montserrat" w:hAnsi="Montserrat"/>
          <w:lang w:val="es-ES"/>
        </w:rPr>
        <w:t>Paso 1 (Identificación de fuentes): Se extrajo información técnica del "Plan Municipal de Gestión Integral de Resi</w:t>
      </w:r>
      <w:r>
        <w:rPr>
          <w:rFonts w:ascii="Montserrat" w:hAnsi="Montserrat"/>
          <w:lang w:val="es-ES"/>
        </w:rPr>
        <w:t>duos Sólidos (PGIRS) 2021-2027"</w:t>
      </w:r>
    </w:p>
    <w:p w:rsidR="00CA43EF" w:rsidRPr="00CA43EF" w:rsidRDefault="00CA43EF" w:rsidP="00CA43EF">
      <w:pPr>
        <w:jc w:val="both"/>
        <w:rPr>
          <w:rFonts w:ascii="Montserrat" w:hAnsi="Montserrat"/>
          <w:lang w:val="es-ES"/>
        </w:rPr>
      </w:pPr>
      <w:r w:rsidRPr="00CA43EF">
        <w:rPr>
          <w:rFonts w:ascii="Montserrat" w:hAnsi="Montserrat"/>
          <w:lang w:val="es-ES"/>
        </w:rPr>
        <w:t xml:space="preserve">Paso 2 y 3 (Evaluación y Redacción): Al interrogar al sistema documental sobre el estado de conservación de las plazas y parques, el PGIRS aportó métricas contundentes sobre la degradación sanitaria, revelando deficiencias en el lavado de áreas públicas, ocupación por habitantes de calle, y la proliferación de puntos críticos de disposición de Residuos de </w:t>
      </w:r>
      <w:r>
        <w:rPr>
          <w:rFonts w:ascii="Montserrat" w:hAnsi="Montserrat"/>
          <w:lang w:val="es-ES"/>
        </w:rPr>
        <w:t>Construcción y Demolición (RCD)</w:t>
      </w:r>
    </w:p>
    <w:p w:rsidR="00CA43EF" w:rsidRPr="00CA43EF" w:rsidRDefault="00CA43EF" w:rsidP="00CA43EF">
      <w:pPr>
        <w:jc w:val="both"/>
        <w:rPr>
          <w:rFonts w:ascii="Montserrat" w:hAnsi="Montserrat"/>
          <w:lang w:val="es-ES"/>
        </w:rPr>
      </w:pPr>
      <w:r w:rsidRPr="00CA43EF">
        <w:rPr>
          <w:rFonts w:ascii="Montserrat" w:hAnsi="Montserrat"/>
          <w:lang w:val="es-ES"/>
        </w:rPr>
        <w:t>Paso 4 y 5 (Argumentación y Brecha): Se cruzó este hallazgo ambiental con el mandato del Acuerdo 019 de 2009 que ordenaba la adopción del Manual Normativo de Espacio Público. La revisión del Documento de Seguimiento 2024-2025 constató que dicho manual nunca se implementó con rigor, generando una Brecha Normativa y Administrativa.</w:t>
      </w:r>
    </w:p>
    <w:p w:rsidR="00CA43EF" w:rsidRPr="00CA43EF" w:rsidRDefault="00CA43EF" w:rsidP="00CA43EF">
      <w:pPr>
        <w:jc w:val="both"/>
        <w:rPr>
          <w:rFonts w:ascii="Montserrat" w:hAnsi="Montserrat"/>
          <w:lang w:val="es-ES"/>
        </w:rPr>
      </w:pPr>
      <w:r w:rsidRPr="00CA43EF">
        <w:rPr>
          <w:rFonts w:ascii="Montserrat" w:hAnsi="Montserrat"/>
          <w:lang w:val="es-ES"/>
        </w:rPr>
        <w:t>Fundamentación de la Postura Técnica: La aseveración de que "Armenia sufre una anarquía estética y funcional" no constituye un adjetivo retórico; representa la traducción técnica del choque documentado entre la crisis sanitaria evidenciada por el PGIRS</w:t>
      </w:r>
    </w:p>
    <w:p w:rsidR="00CA43EF" w:rsidRPr="00CA43EF" w:rsidRDefault="00CA43EF" w:rsidP="00CA43EF">
      <w:pPr>
        <w:jc w:val="both"/>
        <w:rPr>
          <w:rFonts w:ascii="Montserrat" w:hAnsi="Montserrat"/>
          <w:lang w:val="es-ES"/>
        </w:rPr>
      </w:pPr>
      <w:r w:rsidRPr="00CA43EF">
        <w:rPr>
          <w:rFonts w:ascii="Montserrat" w:hAnsi="Montserrat"/>
          <w:lang w:val="es-ES"/>
        </w:rPr>
        <w:t xml:space="preserve"> y la inoperancia histórica de los manuales de </w:t>
      </w:r>
      <w:proofErr w:type="spellStart"/>
      <w:r w:rsidRPr="00CA43EF">
        <w:rPr>
          <w:rFonts w:ascii="Montserrat" w:hAnsi="Montserrat"/>
          <w:lang w:val="es-ES"/>
        </w:rPr>
        <w:t>amoblamiento</w:t>
      </w:r>
      <w:proofErr w:type="spellEnd"/>
      <w:r w:rsidRPr="00CA43EF">
        <w:rPr>
          <w:rFonts w:ascii="Montserrat" w:hAnsi="Montserrat"/>
          <w:lang w:val="es-ES"/>
        </w:rPr>
        <w:t xml:space="preserve"> e intervención urbanística.</w:t>
      </w:r>
    </w:p>
    <w:p w:rsidR="00CA43EF" w:rsidRPr="00CA43EF" w:rsidRDefault="00CA43EF" w:rsidP="00CA43EF">
      <w:pPr>
        <w:jc w:val="both"/>
        <w:rPr>
          <w:rFonts w:ascii="Montserrat" w:hAnsi="Montserrat"/>
          <w:lang w:val="es-ES"/>
        </w:rPr>
      </w:pPr>
      <w:r w:rsidRPr="00CA43EF">
        <w:rPr>
          <w:rFonts w:ascii="Montserrat" w:hAnsi="Montserrat"/>
          <w:lang w:val="es-ES"/>
        </w:rPr>
        <w:t>3.3. Justificación Procedimental del Hallazgo: "El Subsidio Inverso y el Fracaso en la Captura de Plusvalías"</w:t>
      </w:r>
    </w:p>
    <w:p w:rsidR="00CA43EF" w:rsidRPr="00CA43EF" w:rsidRDefault="00CA43EF" w:rsidP="00CA43EF">
      <w:pPr>
        <w:jc w:val="both"/>
        <w:rPr>
          <w:rFonts w:ascii="Montserrat" w:hAnsi="Montserrat"/>
          <w:lang w:val="es-ES"/>
        </w:rPr>
      </w:pPr>
      <w:r w:rsidRPr="00CA43EF">
        <w:rPr>
          <w:rFonts w:ascii="Montserrat" w:hAnsi="Montserrat"/>
          <w:lang w:val="es-ES"/>
        </w:rPr>
        <w:t>El análisis define como un "Nudo Gordiano" estructural la privatización de los beneficios urbanísticos y la incapacidad municipal para financiar parques de escala comunal mediante las herramientas de gestión del suelo.</w:t>
      </w:r>
    </w:p>
    <w:p w:rsidR="00CA43EF" w:rsidRPr="00CA43EF" w:rsidRDefault="00CA43EF" w:rsidP="00CA43EF">
      <w:pPr>
        <w:jc w:val="both"/>
        <w:rPr>
          <w:rFonts w:ascii="Montserrat" w:hAnsi="Montserrat"/>
          <w:lang w:val="es-ES"/>
        </w:rPr>
      </w:pPr>
      <w:r w:rsidRPr="00CA43EF">
        <w:rPr>
          <w:rFonts w:ascii="Montserrat" w:hAnsi="Montserrat"/>
          <w:lang w:val="es-ES"/>
        </w:rPr>
        <w:t>Paso 1 (Identificación de fuentes): Se auditaron el "Volumen 6: Instrumentos de gestión y ejecución POT"</w:t>
      </w:r>
    </w:p>
    <w:p w:rsidR="00CA43EF" w:rsidRPr="00CA43EF" w:rsidRDefault="00CA43EF" w:rsidP="00CA43EF">
      <w:pPr>
        <w:jc w:val="both"/>
        <w:rPr>
          <w:rFonts w:ascii="Montserrat" w:hAnsi="Montserrat"/>
          <w:lang w:val="es-ES"/>
        </w:rPr>
      </w:pPr>
      <w:r w:rsidRPr="00CA43EF">
        <w:rPr>
          <w:rFonts w:ascii="Montserrat" w:hAnsi="Montserrat"/>
          <w:lang w:val="es-ES"/>
        </w:rPr>
        <w:t>, el "Acuerdo 304 de 2024 (Modificación Excepcional)"</w:t>
      </w:r>
    </w:p>
    <w:p w:rsidR="00CA43EF" w:rsidRPr="00CA43EF" w:rsidRDefault="00CA43EF" w:rsidP="00CA43EF">
      <w:pPr>
        <w:jc w:val="both"/>
        <w:rPr>
          <w:rFonts w:ascii="Montserrat" w:hAnsi="Montserrat"/>
          <w:lang w:val="es-ES"/>
        </w:rPr>
      </w:pPr>
      <w:r w:rsidRPr="00CA43EF">
        <w:rPr>
          <w:rFonts w:ascii="Montserrat" w:hAnsi="Montserrat"/>
          <w:lang w:val="es-ES"/>
        </w:rPr>
        <w:t>, y su r</w:t>
      </w:r>
      <w:r>
        <w:rPr>
          <w:rFonts w:ascii="Montserrat" w:hAnsi="Montserrat"/>
          <w:lang w:val="es-ES"/>
        </w:rPr>
        <w:t>espectiva Memoria Justificativa</w:t>
      </w:r>
    </w:p>
    <w:p w:rsidR="00CA43EF" w:rsidRPr="00CA43EF" w:rsidRDefault="00CA43EF" w:rsidP="00CA43EF">
      <w:pPr>
        <w:jc w:val="both"/>
        <w:rPr>
          <w:rFonts w:ascii="Montserrat" w:hAnsi="Montserrat"/>
          <w:lang w:val="es-ES"/>
        </w:rPr>
      </w:pPr>
      <w:r w:rsidRPr="00CA43EF">
        <w:rPr>
          <w:rFonts w:ascii="Montserrat" w:hAnsi="Montserrat"/>
          <w:lang w:val="es-ES"/>
        </w:rPr>
        <w:t>Paso 2 (Evaluación de Suficiencia): La lectura del Volumen 6 expone la formulación teórica de los instrumentos de reparto</w:t>
      </w:r>
    </w:p>
    <w:p w:rsidR="00CA43EF" w:rsidRPr="00CA43EF" w:rsidRDefault="00CA43EF" w:rsidP="00CA43EF">
      <w:pPr>
        <w:jc w:val="both"/>
        <w:rPr>
          <w:rFonts w:ascii="Montserrat" w:hAnsi="Montserrat"/>
          <w:lang w:val="es-ES"/>
        </w:rPr>
      </w:pPr>
      <w:r w:rsidRPr="00CA43EF">
        <w:rPr>
          <w:rFonts w:ascii="Montserrat" w:hAnsi="Montserrat"/>
          <w:lang w:val="es-ES"/>
        </w:rPr>
        <w:t xml:space="preserve">. Sin embargo, la revisión analítica de la Memoria Justificativa desnuda que durante casi quince años la administración abdicó de reglamentar y cobrar eficientemente la edificabilidad adicional </w:t>
      </w:r>
      <w:r>
        <w:rPr>
          <w:rFonts w:ascii="Montserrat" w:hAnsi="Montserrat"/>
          <w:lang w:val="es-ES"/>
        </w:rPr>
        <w:t>y la participación en plusvalía</w:t>
      </w:r>
    </w:p>
    <w:p w:rsidR="00CA43EF" w:rsidRPr="00CA43EF" w:rsidRDefault="00CA43EF" w:rsidP="00CA43EF">
      <w:pPr>
        <w:jc w:val="both"/>
        <w:rPr>
          <w:rFonts w:ascii="Montserrat" w:hAnsi="Montserrat"/>
          <w:lang w:val="es-ES"/>
        </w:rPr>
      </w:pPr>
      <w:r w:rsidRPr="00CA43EF">
        <w:rPr>
          <w:rFonts w:ascii="Montserrat" w:hAnsi="Montserrat"/>
          <w:lang w:val="es-ES"/>
        </w:rPr>
        <w:lastRenderedPageBreak/>
        <w:t>Paso 4 (Argumentación con soporte): El Acuerdo 304 de 2024 surge como un mecanismo normativo de choque para imponer, tardíamente, la obligación de compensar 0.02 m² de espacio público cualificado por cada metro cuadrado adicional construido (Cargas Genera</w:t>
      </w:r>
      <w:r>
        <w:rPr>
          <w:rFonts w:ascii="Montserrat" w:hAnsi="Montserrat"/>
          <w:lang w:val="es-ES"/>
        </w:rPr>
        <w:t>les)</w:t>
      </w:r>
    </w:p>
    <w:p w:rsidR="00CA43EF" w:rsidRPr="00CA43EF" w:rsidRDefault="00CA43EF" w:rsidP="00CA43EF">
      <w:pPr>
        <w:jc w:val="both"/>
        <w:rPr>
          <w:rFonts w:ascii="Montserrat" w:hAnsi="Montserrat"/>
          <w:lang w:val="es-ES"/>
        </w:rPr>
      </w:pPr>
      <w:r w:rsidRPr="00CA43EF">
        <w:rPr>
          <w:rFonts w:ascii="Montserrat" w:hAnsi="Montserrat"/>
          <w:lang w:val="es-ES"/>
        </w:rPr>
        <w:t>Fundamentación de la Postura Técnica: La promulgación de una modificación excepcional en 2024</w:t>
      </w:r>
    </w:p>
    <w:p w:rsidR="00CA43EF" w:rsidRPr="00CA43EF" w:rsidRDefault="00CA43EF" w:rsidP="00CA43EF">
      <w:pPr>
        <w:jc w:val="both"/>
        <w:rPr>
          <w:rFonts w:ascii="Montserrat" w:hAnsi="Montserrat"/>
          <w:lang w:val="es-ES"/>
        </w:rPr>
      </w:pPr>
      <w:r w:rsidRPr="00CA43EF">
        <w:rPr>
          <w:rFonts w:ascii="Montserrat" w:hAnsi="Montserrat"/>
          <w:lang w:val="es-ES"/>
        </w:rPr>
        <w:t xml:space="preserve"> para obligar el pago de un espacio público que la hipertrofia inmobiliaria consumió sin contraprestación desde 2009</w:t>
      </w:r>
    </w:p>
    <w:p w:rsidR="00CA43EF" w:rsidRPr="00CA43EF" w:rsidRDefault="00CA43EF" w:rsidP="00CA43EF">
      <w:pPr>
        <w:jc w:val="both"/>
        <w:rPr>
          <w:rFonts w:ascii="Montserrat" w:hAnsi="Montserrat"/>
          <w:lang w:val="es-ES"/>
        </w:rPr>
      </w:pPr>
      <w:r w:rsidRPr="00CA43EF">
        <w:rPr>
          <w:rFonts w:ascii="Montserrat" w:hAnsi="Montserrat"/>
          <w:lang w:val="es-ES"/>
        </w:rPr>
        <w:t>, comprueba estadísticamente la operación de un modelo de "regalo normativo". La conclusión de que el Estado local claudicó en su deber de financiar los bienes públicos proviene de este estricto razonamiento deductivo-documental.</w:t>
      </w:r>
    </w:p>
    <w:p w:rsidR="00CA43EF" w:rsidRPr="00CA43EF" w:rsidRDefault="00CA43EF" w:rsidP="00CA43EF">
      <w:pPr>
        <w:jc w:val="both"/>
        <w:rPr>
          <w:rFonts w:ascii="Montserrat" w:hAnsi="Montserrat"/>
          <w:lang w:val="es-ES"/>
        </w:rPr>
      </w:pPr>
      <w:r w:rsidRPr="00CA43EF">
        <w:rPr>
          <w:rFonts w:ascii="Montserrat" w:hAnsi="Montserrat"/>
          <w:lang w:val="es-ES"/>
        </w:rPr>
        <w:t>3.4. Justificación Procedimental del Hallazgo: "La Desarticulación del BICN Estación del Ferrocarril y la Centralización de Equipamientos"</w:t>
      </w:r>
    </w:p>
    <w:p w:rsidR="00CA43EF" w:rsidRPr="00CA43EF" w:rsidRDefault="00CA43EF" w:rsidP="00CA43EF">
      <w:pPr>
        <w:jc w:val="both"/>
        <w:rPr>
          <w:rFonts w:ascii="Montserrat" w:hAnsi="Montserrat"/>
          <w:lang w:val="es-ES"/>
        </w:rPr>
      </w:pPr>
      <w:r w:rsidRPr="00CA43EF">
        <w:rPr>
          <w:rFonts w:ascii="Montserrat" w:hAnsi="Montserrat"/>
          <w:lang w:val="es-ES"/>
        </w:rPr>
        <w:t>Se establece en el análisis que los grandes equipamientos y proyectos detonantes han carecido de integración con el espacio público circundante, marginando a sectores periféricos.</w:t>
      </w:r>
    </w:p>
    <w:p w:rsidR="00CA43EF" w:rsidRPr="00CA43EF" w:rsidRDefault="00CA43EF" w:rsidP="00CA43EF">
      <w:pPr>
        <w:jc w:val="both"/>
        <w:rPr>
          <w:rFonts w:ascii="Montserrat" w:hAnsi="Montserrat"/>
          <w:lang w:val="es-ES"/>
        </w:rPr>
      </w:pPr>
      <w:r w:rsidRPr="00CA43EF">
        <w:rPr>
          <w:rFonts w:ascii="Montserrat" w:hAnsi="Montserrat"/>
          <w:lang w:val="es-ES"/>
        </w:rPr>
        <w:t>Paso 1 y 2 (Fuentes y Suficiencia): Se revisaron la "Resolución 3277 de 2014" y la "Resolución 1230 de 2017" que aprueban y modifican el PEMP del Bien de Interés Cultural Nacional (BICN) de la Antigua Estación del Ferrocarril</w:t>
      </w:r>
    </w:p>
    <w:p w:rsidR="00CA43EF" w:rsidRPr="00CA43EF" w:rsidRDefault="00CA43EF" w:rsidP="00CA43EF">
      <w:pPr>
        <w:jc w:val="both"/>
        <w:rPr>
          <w:rFonts w:ascii="Montserrat" w:hAnsi="Montserrat"/>
          <w:lang w:val="es-ES"/>
        </w:rPr>
      </w:pPr>
      <w:r w:rsidRPr="00CA43EF">
        <w:rPr>
          <w:rFonts w:ascii="Montserrat" w:hAnsi="Montserrat"/>
          <w:lang w:val="es-ES"/>
        </w:rPr>
        <w:t>, junto con sus Documentos Técn</w:t>
      </w:r>
      <w:r>
        <w:rPr>
          <w:rFonts w:ascii="Montserrat" w:hAnsi="Montserrat"/>
          <w:lang w:val="es-ES"/>
        </w:rPr>
        <w:t>icos de Soporte</w:t>
      </w:r>
    </w:p>
    <w:p w:rsidR="00CA43EF" w:rsidRPr="00CA43EF" w:rsidRDefault="00CA43EF" w:rsidP="00CA43EF">
      <w:pPr>
        <w:jc w:val="both"/>
        <w:rPr>
          <w:rFonts w:ascii="Montserrat" w:hAnsi="Montserrat"/>
          <w:lang w:val="es-ES"/>
        </w:rPr>
      </w:pPr>
      <w:r w:rsidRPr="00CA43EF">
        <w:rPr>
          <w:rFonts w:ascii="Montserrat" w:hAnsi="Montserrat"/>
          <w:lang w:val="es-ES"/>
        </w:rPr>
        <w:t>Paso 4 y 5 (Argumentación y Brecha): El diagnóstico del PEMP identificó como un grave problema la "desarticulación o falta de conexión peatonal del BICN con el centro de la ciudad", derivada de la construcción de infraestructuras viales (como el intercambiador de La Cejita y la Avenida Montenegro) que privilegiaron el vehículo particular y omitieron el andén peatonal</w:t>
      </w:r>
    </w:p>
    <w:p w:rsidR="00CA43EF" w:rsidRPr="00CA43EF" w:rsidRDefault="00CA43EF" w:rsidP="00CA43EF">
      <w:pPr>
        <w:jc w:val="both"/>
        <w:rPr>
          <w:rFonts w:ascii="Montserrat" w:hAnsi="Montserrat"/>
          <w:lang w:val="es-ES"/>
        </w:rPr>
      </w:pPr>
      <w:r w:rsidRPr="00CA43EF">
        <w:rPr>
          <w:rFonts w:ascii="Montserrat" w:hAnsi="Montserrat"/>
          <w:lang w:val="es-ES"/>
        </w:rPr>
        <w:t>. Se tipifica una Brecha de Articulación Físico-Espacial.</w:t>
      </w:r>
    </w:p>
    <w:p w:rsidR="00CA43EF" w:rsidRPr="00CA43EF" w:rsidRDefault="00CA43EF" w:rsidP="00CA43EF">
      <w:pPr>
        <w:jc w:val="both"/>
        <w:rPr>
          <w:rFonts w:ascii="Montserrat" w:hAnsi="Montserrat"/>
          <w:lang w:val="es-ES"/>
        </w:rPr>
      </w:pPr>
      <w:r w:rsidRPr="00CA43EF">
        <w:rPr>
          <w:rFonts w:ascii="Montserrat" w:hAnsi="Montserrat"/>
          <w:lang w:val="es-ES"/>
        </w:rPr>
        <w:t xml:space="preserve">Fundamentación de la Postura Técnica: Documentar que el principal nodo cultural y turístico de la ciudad quedó físicamente aislado por infraestructuras viales agresivas corrobora que la planificación del transporte y del espacio público operaron como compartimentos estancos, contraviniendo el modelo de "Redes Funcionales" e </w:t>
      </w:r>
      <w:proofErr w:type="spellStart"/>
      <w:r w:rsidRPr="00CA43EF">
        <w:rPr>
          <w:rFonts w:ascii="Montserrat" w:hAnsi="Montserrat"/>
          <w:lang w:val="es-ES"/>
        </w:rPr>
        <w:t>intermodalidad</w:t>
      </w:r>
      <w:proofErr w:type="spellEnd"/>
      <w:r w:rsidRPr="00CA43EF">
        <w:rPr>
          <w:rFonts w:ascii="Montserrat" w:hAnsi="Montserrat"/>
          <w:lang w:val="es-ES"/>
        </w:rPr>
        <w:t xml:space="preserve"> peatonal.</w:t>
      </w:r>
    </w:p>
    <w:p w:rsidR="00CA43EF" w:rsidRPr="00CA43EF" w:rsidRDefault="00CA43EF" w:rsidP="00CA43EF">
      <w:pPr>
        <w:jc w:val="both"/>
        <w:rPr>
          <w:rFonts w:ascii="Montserrat" w:hAnsi="Montserrat"/>
          <w:lang w:val="es-ES"/>
        </w:rPr>
      </w:pPr>
      <w:r w:rsidRPr="00CA43EF">
        <w:rPr>
          <w:rFonts w:ascii="Montserrat" w:hAnsi="Montserrat"/>
          <w:lang w:val="es-ES"/>
        </w:rPr>
        <w:t>3.5. Justificación Procedimental del Hallazgo: "La Ceguera Técnica Cartográfica (IDE Municipal)"</w:t>
      </w:r>
    </w:p>
    <w:p w:rsidR="00CA43EF" w:rsidRPr="00CA43EF" w:rsidRDefault="00CA43EF" w:rsidP="00CA43EF">
      <w:pPr>
        <w:jc w:val="both"/>
        <w:rPr>
          <w:rFonts w:ascii="Montserrat" w:hAnsi="Montserrat"/>
          <w:lang w:val="es-ES"/>
        </w:rPr>
      </w:pPr>
      <w:r w:rsidRPr="00CA43EF">
        <w:rPr>
          <w:rFonts w:ascii="Montserrat" w:hAnsi="Montserrat"/>
          <w:lang w:val="es-ES"/>
        </w:rPr>
        <w:t>Se afirma con severidad que la gobernanza de datos en Armenia colapsó, dificultando la medición real del espacio público y la defensa de la Estructura Ecológica Principal.</w:t>
      </w:r>
    </w:p>
    <w:p w:rsidR="00CA43EF" w:rsidRPr="00CA43EF" w:rsidRDefault="00CA43EF" w:rsidP="00CA43EF">
      <w:pPr>
        <w:jc w:val="both"/>
        <w:rPr>
          <w:rFonts w:ascii="Montserrat" w:hAnsi="Montserrat"/>
          <w:lang w:val="es-ES"/>
        </w:rPr>
      </w:pPr>
      <w:r w:rsidRPr="00CA43EF">
        <w:rPr>
          <w:rFonts w:ascii="Montserrat" w:hAnsi="Montserrat"/>
          <w:lang w:val="es-ES"/>
        </w:rPr>
        <w:t xml:space="preserve">Paso 1 y 2 (Fuentes y Suficiencia): Durante la auditoría del "Documento de Seguimiento y Evaluación Modificación excepcional", se evidencia que al buscar la </w:t>
      </w:r>
      <w:r w:rsidRPr="00CA43EF">
        <w:rPr>
          <w:rFonts w:ascii="Montserrat" w:hAnsi="Montserrat"/>
          <w:lang w:val="es-ES"/>
        </w:rPr>
        <w:lastRenderedPageBreak/>
        <w:t>planimetría oficial de soporte (ej. perfiles viales o áreas de cesión), los evaluadores institucionales reportan incapacidad p</w:t>
      </w:r>
      <w:r>
        <w:rPr>
          <w:rFonts w:ascii="Montserrat" w:hAnsi="Montserrat"/>
          <w:lang w:val="es-ES"/>
        </w:rPr>
        <w:t>ara localizar dichos documentos</w:t>
      </w:r>
    </w:p>
    <w:p w:rsidR="00CA43EF" w:rsidRPr="00CA43EF" w:rsidRDefault="00CA43EF" w:rsidP="00CA43EF">
      <w:pPr>
        <w:jc w:val="both"/>
        <w:rPr>
          <w:rFonts w:ascii="Montserrat" w:hAnsi="Montserrat"/>
          <w:lang w:val="es-ES"/>
        </w:rPr>
      </w:pPr>
      <w:r w:rsidRPr="00CA43EF">
        <w:rPr>
          <w:rFonts w:ascii="Montserrat" w:hAnsi="Montserrat"/>
          <w:lang w:val="es-ES"/>
        </w:rPr>
        <w:t>Paso 5 (Identificación de la Brecha): Esta situación configura la máxima Brecha de Información. Se constata que la inmensa mayoría de los planos originales jamás fueron migrados con éxito a un Sistema de Información Geográfica (SIG</w:t>
      </w:r>
      <w:r>
        <w:rPr>
          <w:rFonts w:ascii="Montserrat" w:hAnsi="Montserrat"/>
          <w:lang w:val="es-ES"/>
        </w:rPr>
        <w:t>) unificado y de acceso público</w:t>
      </w:r>
    </w:p>
    <w:p w:rsidR="00CA43EF" w:rsidRPr="00CA43EF" w:rsidRDefault="00CA43EF" w:rsidP="00CA43EF">
      <w:pPr>
        <w:jc w:val="both"/>
        <w:rPr>
          <w:rFonts w:ascii="Montserrat" w:hAnsi="Montserrat"/>
          <w:lang w:val="es-ES"/>
        </w:rPr>
      </w:pPr>
      <w:r w:rsidRPr="00CA43EF">
        <w:rPr>
          <w:rFonts w:ascii="Montserrat" w:hAnsi="Montserrat"/>
          <w:lang w:val="es-ES"/>
        </w:rPr>
        <w:t>Fundamentación de la Postura Técnica: La incapacidad histórica para frenar los asentamientos informales en zonas de amenaza por remoción en masa (laderas de microcuencas) y la imposibilidad de auditar métricamente las áreas de cesión entregadas por los desarrolladores son el daño colateral directo de esta brecha cartográfica. Dictaminar una "ceguera institucional" es el diagnóstico técnico exacto de un municipio que intentó ordenar su territorio careciendo de un mapa georreferenciado e interoperable.</w:t>
      </w:r>
    </w:p>
    <w:p w:rsidR="00CA43EF" w:rsidRPr="00F12549" w:rsidRDefault="00CA43EF" w:rsidP="00CA43EF">
      <w:pPr>
        <w:jc w:val="both"/>
        <w:rPr>
          <w:rFonts w:ascii="Montserrat" w:hAnsi="Montserrat"/>
          <w:b/>
          <w:lang w:val="es-ES"/>
        </w:rPr>
      </w:pPr>
      <w:r w:rsidRPr="00F12549">
        <w:rPr>
          <w:rFonts w:ascii="Montserrat" w:hAnsi="Montserrat"/>
          <w:b/>
          <w:lang w:val="es-ES"/>
        </w:rPr>
        <w:t>4. ARTICULACIÓN CON LA EVALUACIÓN DEL DESEMPEÑO DE CORTO, MEDIANO Y LARGO PLAZO</w:t>
      </w:r>
    </w:p>
    <w:p w:rsidR="00CA43EF" w:rsidRPr="00CA43EF" w:rsidRDefault="00CA43EF" w:rsidP="00CA43EF">
      <w:pPr>
        <w:jc w:val="both"/>
        <w:rPr>
          <w:rFonts w:ascii="Montserrat" w:hAnsi="Montserrat"/>
          <w:lang w:val="es-ES"/>
        </w:rPr>
      </w:pPr>
      <w:r w:rsidRPr="00CA43EF">
        <w:rPr>
          <w:rFonts w:ascii="Montserrat" w:hAnsi="Montserrat"/>
          <w:lang w:val="es-ES"/>
        </w:rPr>
        <w:t>El diseño metodológico instruye no solo observar la existencia semántica de las normas, sino su materialización empírica en el territorio</w:t>
      </w:r>
    </w:p>
    <w:p w:rsidR="00CA43EF" w:rsidRPr="00CA43EF" w:rsidRDefault="00CA43EF" w:rsidP="00CA43EF">
      <w:pPr>
        <w:jc w:val="both"/>
        <w:rPr>
          <w:rFonts w:ascii="Montserrat" w:hAnsi="Montserrat"/>
          <w:lang w:val="es-ES"/>
        </w:rPr>
      </w:pPr>
      <w:r w:rsidRPr="00CA43EF">
        <w:rPr>
          <w:rFonts w:ascii="Montserrat" w:hAnsi="Montserrat"/>
          <w:lang w:val="es-ES"/>
        </w:rPr>
        <w:t>. Para ello, el análisis se apoya invariablemente en el "Documento de Segu</w:t>
      </w:r>
      <w:r>
        <w:rPr>
          <w:rFonts w:ascii="Montserrat" w:hAnsi="Montserrat"/>
          <w:lang w:val="es-ES"/>
        </w:rPr>
        <w:t>imiento y Evaluación 2024-2025"</w:t>
      </w:r>
    </w:p>
    <w:p w:rsidR="00CA43EF" w:rsidRPr="00CA43EF" w:rsidRDefault="00CA43EF" w:rsidP="00CA43EF">
      <w:pPr>
        <w:jc w:val="both"/>
        <w:rPr>
          <w:rFonts w:ascii="Montserrat" w:hAnsi="Montserrat"/>
          <w:lang w:val="es-ES"/>
        </w:rPr>
      </w:pPr>
      <w:r w:rsidRPr="00CA43EF">
        <w:rPr>
          <w:rFonts w:ascii="Montserrat" w:hAnsi="Montserrat"/>
          <w:lang w:val="es-ES"/>
        </w:rPr>
        <w:t>La metodología exige evaluar indicadores de desempeño por vigencias</w:t>
      </w:r>
    </w:p>
    <w:p w:rsidR="00CA43EF" w:rsidRPr="00CA43EF" w:rsidRDefault="00CA43EF" w:rsidP="00CA43EF">
      <w:pPr>
        <w:jc w:val="both"/>
        <w:rPr>
          <w:rFonts w:ascii="Montserrat" w:hAnsi="Montserrat"/>
          <w:lang w:val="es-ES"/>
        </w:rPr>
      </w:pPr>
      <w:r w:rsidRPr="00CA43EF">
        <w:rPr>
          <w:rFonts w:ascii="Montserrat" w:hAnsi="Montserrat"/>
          <w:lang w:val="es-ES"/>
        </w:rPr>
        <w:t>. Procedimentalmente, la extracción de las estadísticas de ejecución del Plan de Ordenamiento arroja resultados incuestionables:</w:t>
      </w:r>
    </w:p>
    <w:p w:rsidR="00CA43EF" w:rsidRPr="00CA43EF" w:rsidRDefault="00CA43EF" w:rsidP="00CA43EF">
      <w:pPr>
        <w:jc w:val="both"/>
        <w:rPr>
          <w:rFonts w:ascii="Montserrat" w:hAnsi="Montserrat"/>
          <w:lang w:val="es-ES"/>
        </w:rPr>
      </w:pPr>
      <w:r w:rsidRPr="00CA43EF">
        <w:rPr>
          <w:rFonts w:ascii="Montserrat" w:hAnsi="Montserrat"/>
          <w:lang w:val="es-ES"/>
        </w:rPr>
        <w:t xml:space="preserve">Ejecución de Largo Plazo: El análisis evidencia que, en los componentes estructurales de infraestructura vial, consolidación de espacio público y recuperación de la estructura ecológica principal, la inmensa mayoría de los </w:t>
      </w:r>
      <w:proofErr w:type="spellStart"/>
      <w:r w:rsidRPr="00CA43EF">
        <w:rPr>
          <w:rFonts w:ascii="Montserrat" w:hAnsi="Montserrat"/>
          <w:lang w:val="es-ES"/>
        </w:rPr>
        <w:t>macroproyectos</w:t>
      </w:r>
      <w:proofErr w:type="spellEnd"/>
      <w:r w:rsidRPr="00CA43EF">
        <w:rPr>
          <w:rFonts w:ascii="Montserrat" w:hAnsi="Montserrat"/>
          <w:lang w:val="es-ES"/>
        </w:rPr>
        <w:t xml:space="preserve"> estratégicos se encuentran en estado "Sin ejecutar".</w:t>
      </w:r>
    </w:p>
    <w:p w:rsidR="00CA43EF" w:rsidRPr="00CA43EF" w:rsidRDefault="00CA43EF" w:rsidP="00CA43EF">
      <w:pPr>
        <w:jc w:val="both"/>
        <w:rPr>
          <w:rFonts w:ascii="Montserrat" w:hAnsi="Montserrat"/>
          <w:lang w:val="es-ES"/>
        </w:rPr>
      </w:pPr>
      <w:r w:rsidRPr="00CA43EF">
        <w:rPr>
          <w:rFonts w:ascii="Montserrat" w:hAnsi="Montserrat"/>
          <w:lang w:val="es-ES"/>
        </w:rPr>
        <w:t>Justificación de la Postura Crítica: Es este dato estadístico y oficial, derivado del propio expediente del Departamento Administrativo de Planeación</w:t>
      </w:r>
    </w:p>
    <w:p w:rsidR="00CA43EF" w:rsidRPr="00CA43EF" w:rsidRDefault="00CA43EF" w:rsidP="00CA43EF">
      <w:pPr>
        <w:jc w:val="both"/>
        <w:rPr>
          <w:rFonts w:ascii="Montserrat" w:hAnsi="Montserrat"/>
          <w:lang w:val="es-ES"/>
        </w:rPr>
      </w:pPr>
      <w:r w:rsidRPr="00CA43EF">
        <w:rPr>
          <w:rFonts w:ascii="Montserrat" w:hAnsi="Montserrat"/>
          <w:lang w:val="es-ES"/>
        </w:rPr>
        <w:t xml:space="preserve">, el que otorga un sustento probatorio irrefutable a las aseveraciones del diagnóstico. La afirmación de que el POT operó como un "documento declarativo y retórico" se fundamenta en la evidencia matemática de que las infraestructuras estructurantes, diseñadas para dar soporte a la densificación de la ciudad, fueron abandonadas o paralizadas debido a carencias en la fase de </w:t>
      </w:r>
      <w:proofErr w:type="spellStart"/>
      <w:r w:rsidRPr="00CA43EF">
        <w:rPr>
          <w:rFonts w:ascii="Montserrat" w:hAnsi="Montserrat"/>
          <w:lang w:val="es-ES"/>
        </w:rPr>
        <w:t>preinversión</w:t>
      </w:r>
      <w:proofErr w:type="spellEnd"/>
      <w:r w:rsidRPr="00CA43EF">
        <w:rPr>
          <w:rFonts w:ascii="Montserrat" w:hAnsi="Montserrat"/>
          <w:lang w:val="es-ES"/>
        </w:rPr>
        <w:t>, falta de gestión predial y debilidad en la captura de rentas urbanas.</w:t>
      </w:r>
    </w:p>
    <w:p w:rsidR="00CA43EF" w:rsidRPr="00F12549" w:rsidRDefault="00CA43EF" w:rsidP="00CA43EF">
      <w:pPr>
        <w:jc w:val="both"/>
        <w:rPr>
          <w:rFonts w:ascii="Montserrat" w:hAnsi="Montserrat"/>
          <w:b/>
          <w:lang w:val="es-ES"/>
        </w:rPr>
      </w:pPr>
      <w:r w:rsidRPr="00F12549">
        <w:rPr>
          <w:rFonts w:ascii="Montserrat" w:hAnsi="Montserrat"/>
          <w:b/>
          <w:lang w:val="es-ES"/>
        </w:rPr>
        <w:t>5. SÍNTESIS PROSPECTIVA: EL VALOR DE LA METODOLOGÍA PARA LA MITIGACIÓN DEL RIESGO LEGAL Y TÉCNICO</w:t>
      </w:r>
    </w:p>
    <w:p w:rsidR="00CA43EF" w:rsidRPr="00CA43EF" w:rsidRDefault="00CA43EF" w:rsidP="00CA43EF">
      <w:pPr>
        <w:jc w:val="both"/>
        <w:rPr>
          <w:rFonts w:ascii="Montserrat" w:hAnsi="Montserrat"/>
          <w:lang w:val="es-ES"/>
        </w:rPr>
      </w:pPr>
      <w:r w:rsidRPr="00CA43EF">
        <w:rPr>
          <w:rFonts w:ascii="Montserrat" w:hAnsi="Montserrat"/>
          <w:lang w:val="es-ES"/>
        </w:rPr>
        <w:t xml:space="preserve">El trabajo analítico e interpretativo realizado hasta este hito procedimental (Fase 1: Sistematización Documental) no constituye un mero formalismo burocrático; </w:t>
      </w:r>
      <w:r w:rsidRPr="00CA43EF">
        <w:rPr>
          <w:rFonts w:ascii="Montserrat" w:hAnsi="Montserrat"/>
          <w:lang w:val="es-ES"/>
        </w:rPr>
        <w:lastRenderedPageBreak/>
        <w:t>representa, por el contrario, una estrategia indispensable de inmunización jurídica y técnica para el municipio de Armenia frente a la toma de decisiones futuras. Al evidenciar procedimentalmente las patologías del modelo de ocupación anterior mediante el rastreo clínico de sus propios documentos técnicos y normativos, el diagnóstico adquiere legitimidad científica y blindaje legal.</w:t>
      </w:r>
    </w:p>
    <w:p w:rsidR="00CA43EF" w:rsidRPr="00CA43EF" w:rsidRDefault="00CA43EF" w:rsidP="00CA43EF">
      <w:pPr>
        <w:jc w:val="both"/>
        <w:rPr>
          <w:rFonts w:ascii="Montserrat" w:hAnsi="Montserrat"/>
          <w:lang w:val="es-ES"/>
        </w:rPr>
      </w:pPr>
      <w:r w:rsidRPr="00CA43EF">
        <w:rPr>
          <w:rFonts w:ascii="Montserrat" w:hAnsi="Montserrat"/>
          <w:lang w:val="es-ES"/>
        </w:rPr>
        <w:t>La aplicación sistemática de los seis pasos operativos sobre los "Nudos Gordianos" del Espacio Público ha preparado el terreno técnico para que la administración municipal transite con seguridad hacia las siguientes fases de la revisión de largo plazo:</w:t>
      </w:r>
    </w:p>
    <w:p w:rsidR="00CA43EF" w:rsidRPr="00CA43EF" w:rsidRDefault="00CA43EF" w:rsidP="00CA43EF">
      <w:pPr>
        <w:jc w:val="both"/>
        <w:rPr>
          <w:rFonts w:ascii="Montserrat" w:hAnsi="Montserrat"/>
          <w:lang w:val="es-ES"/>
        </w:rPr>
      </w:pPr>
      <w:r w:rsidRPr="00CA43EF">
        <w:rPr>
          <w:rFonts w:ascii="Montserrat" w:hAnsi="Montserrat"/>
          <w:lang w:val="es-ES"/>
        </w:rPr>
        <w:t>Hacia la Fase 2 (Armonización Cartográfica): Al demostrar pericialmente que la cartografía es obsoleta, dispersa e incompleta</w:t>
      </w:r>
    </w:p>
    <w:p w:rsidR="00CA43EF" w:rsidRPr="00CA43EF" w:rsidRDefault="00CA43EF" w:rsidP="00CA43EF">
      <w:pPr>
        <w:jc w:val="both"/>
        <w:rPr>
          <w:rFonts w:ascii="Montserrat" w:hAnsi="Montserrat"/>
          <w:lang w:val="es-ES"/>
        </w:rPr>
      </w:pPr>
      <w:r w:rsidRPr="00CA43EF">
        <w:rPr>
          <w:rFonts w:ascii="Montserrat" w:hAnsi="Montserrat"/>
          <w:lang w:val="es-ES"/>
        </w:rPr>
        <w:t xml:space="preserve">, el municipio obtiene la fundamentación legal para exigir el presupuesto y el esfuerzo institucional necesarios orientados a conformar una Infraestructura de Datos Espaciales (IDE) interoperable y de última generación. Esta IDE será el único mecanismo capaz de </w:t>
      </w:r>
      <w:proofErr w:type="spellStart"/>
      <w:r w:rsidRPr="00CA43EF">
        <w:rPr>
          <w:rFonts w:ascii="Montserrat" w:hAnsi="Montserrat"/>
          <w:lang w:val="es-ES"/>
        </w:rPr>
        <w:t>espacializar</w:t>
      </w:r>
      <w:proofErr w:type="spellEnd"/>
      <w:r w:rsidRPr="00CA43EF">
        <w:rPr>
          <w:rFonts w:ascii="Montserrat" w:hAnsi="Montserrat"/>
          <w:lang w:val="es-ES"/>
        </w:rPr>
        <w:t xml:space="preserve"> el déficit cuadra a cuadra y delimitar con rigor las 54 microcuencas como futuros parques lineales.</w:t>
      </w:r>
    </w:p>
    <w:p w:rsidR="00CA43EF" w:rsidRPr="00CA43EF" w:rsidRDefault="00CA43EF" w:rsidP="00CA43EF">
      <w:pPr>
        <w:jc w:val="both"/>
        <w:rPr>
          <w:rFonts w:ascii="Montserrat" w:hAnsi="Montserrat"/>
          <w:lang w:val="es-ES"/>
        </w:rPr>
      </w:pPr>
      <w:r w:rsidRPr="00CA43EF">
        <w:rPr>
          <w:rFonts w:ascii="Montserrat" w:hAnsi="Montserrat"/>
          <w:lang w:val="es-ES"/>
        </w:rPr>
        <w:t>Hacia la Fase 3 (Validación Social): Al evidenciar mediante datos oficiales la profunda segregación comunal del espacio verde (comunas del sur marginadas frente a un norte y Avenida Centenario dotados y densificados)</w:t>
      </w:r>
    </w:p>
    <w:p w:rsidR="00CA43EF" w:rsidRPr="00CA43EF" w:rsidRDefault="00CA43EF" w:rsidP="00CA43EF">
      <w:pPr>
        <w:jc w:val="both"/>
        <w:rPr>
          <w:rFonts w:ascii="Montserrat" w:hAnsi="Montserrat"/>
          <w:lang w:val="es-ES"/>
        </w:rPr>
      </w:pPr>
      <w:r w:rsidRPr="00CA43EF">
        <w:rPr>
          <w:rFonts w:ascii="Montserrat" w:hAnsi="Montserrat"/>
          <w:lang w:val="es-ES"/>
        </w:rPr>
        <w:t>, el proceso adquiere el soporte argumentativo requerido para priorizar territorialmente los talleres de mapeo colectivo. Esto garantiza que la participación ciudadana trascienda el requisito de ley para convertirse en un verdadero esc</w:t>
      </w:r>
      <w:r>
        <w:rPr>
          <w:rFonts w:ascii="Montserrat" w:hAnsi="Montserrat"/>
          <w:lang w:val="es-ES"/>
        </w:rPr>
        <w:t>enario de equidad compensatoria</w:t>
      </w:r>
    </w:p>
    <w:p w:rsidR="00CA43EF" w:rsidRPr="00CA43EF" w:rsidRDefault="00CA43EF" w:rsidP="00CA43EF">
      <w:pPr>
        <w:jc w:val="both"/>
        <w:rPr>
          <w:rFonts w:ascii="Montserrat" w:hAnsi="Montserrat"/>
          <w:lang w:val="es-ES"/>
        </w:rPr>
      </w:pPr>
      <w:r w:rsidRPr="00F12549">
        <w:rPr>
          <w:rFonts w:ascii="Montserrat" w:hAnsi="Montserrat"/>
          <w:b/>
          <w:lang w:val="es-ES"/>
        </w:rPr>
        <w:t>Conclusión Institucional y Metodológica:</w:t>
      </w:r>
      <w:r w:rsidRPr="00CA43EF">
        <w:rPr>
          <w:rFonts w:ascii="Montserrat" w:hAnsi="Montserrat"/>
          <w:lang w:val="es-ES"/>
        </w:rPr>
        <w:t xml:space="preserve"> El diagnóstico entregado sobre la crisis habitacional y del espacio público en Armenia, signado por su objetividad crítica y su rigor técnico, prescinde absolutamente del ensayo de opinión. Constituye la exégesis de un territorio leída a través de su propia memoria documental. El procedimiento que aquí se expone y detalla demuestra que detrás de cada hallazgo analítico —sobre el déficit cualitativo, sobre el desgobierno cartográfico, sobre el aislamiento de bienes patrimoniales como la Estación del Ferrocarril, y sobre el fracaso de los instrumentos financieros de plusvalía— existió la aplicación implacable de una matriz de consistencia, un cruce interdisciplinario de variables (PGIRS, Planes de Movilidad, Resoluciones PEMP, Seguimiento Institucional) y un estricto acatamiento de la ruta metodológica nacional</w:t>
      </w:r>
    </w:p>
    <w:p w:rsidR="00CA43EF" w:rsidRPr="00CA43EF" w:rsidRDefault="00CA43EF" w:rsidP="00CA43EF">
      <w:pPr>
        <w:jc w:val="both"/>
        <w:rPr>
          <w:rFonts w:ascii="Montserrat" w:hAnsi="Montserrat"/>
          <w:lang w:val="es-ES"/>
        </w:rPr>
      </w:pPr>
      <w:r w:rsidRPr="00CA43EF">
        <w:rPr>
          <w:rFonts w:ascii="Montserrat" w:hAnsi="Montserrat"/>
          <w:lang w:val="es-ES"/>
        </w:rPr>
        <w:t xml:space="preserve">. Únicamente mediante este nivel de "auditoría clínica" del expediente municipal resulta posible garantizar que la estructuración del próximo Plan de Ordenamiento Territorial 2027-2039 se erija como un verdadero pacto funcional, dotado de los instrumentos financieros y urbanísticos capaces de edificar la ciudad equitativa y </w:t>
      </w:r>
      <w:proofErr w:type="spellStart"/>
      <w:r w:rsidRPr="00CA43EF">
        <w:rPr>
          <w:rFonts w:ascii="Montserrat" w:hAnsi="Montserrat"/>
          <w:lang w:val="es-ES"/>
        </w:rPr>
        <w:t>resiliente</w:t>
      </w:r>
      <w:proofErr w:type="spellEnd"/>
      <w:r w:rsidRPr="00CA43EF">
        <w:rPr>
          <w:rFonts w:ascii="Montserrat" w:hAnsi="Montserrat"/>
          <w:lang w:val="es-ES"/>
        </w:rPr>
        <w:t xml:space="preserve"> que la población demanda.</w:t>
      </w:r>
    </w:p>
    <w:sectPr w:rsidR="00CA43EF" w:rsidRPr="00CA43E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panose1 w:val="00000000000000000000"/>
    <w:charset w:val="00"/>
    <w:family w:val="auto"/>
    <w:pitch w:val="variable"/>
    <w:sig w:usb0="A00002FF" w:usb1="4000207B" w:usb2="00000000" w:usb3="00000000" w:csb0="00000197"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632BBF"/>
    <w:multiLevelType w:val="multilevel"/>
    <w:tmpl w:val="E0B06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9D2"/>
    <w:rsid w:val="00306F40"/>
    <w:rsid w:val="0035304D"/>
    <w:rsid w:val="00551D6D"/>
    <w:rsid w:val="005A58F3"/>
    <w:rsid w:val="008359D2"/>
    <w:rsid w:val="00BA156F"/>
    <w:rsid w:val="00CA43EF"/>
    <w:rsid w:val="00E25F25"/>
    <w:rsid w:val="00E850FD"/>
    <w:rsid w:val="00F12549"/>
    <w:rsid w:val="00F91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BF69"/>
  <w15:chartTrackingRefBased/>
  <w15:docId w15:val="{D3CD820F-3C19-4AED-A3E7-9A86DD1E7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CO"/>
    </w:rPr>
  </w:style>
  <w:style w:type="paragraph" w:styleId="Ttulo1">
    <w:name w:val="heading 1"/>
    <w:basedOn w:val="Normal"/>
    <w:next w:val="Normal"/>
    <w:link w:val="Ttulo1Car"/>
    <w:uiPriority w:val="9"/>
    <w:qFormat/>
    <w:rsid w:val="008359D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8359D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ng-star-inserted">
    <w:name w:val="ng-star-inserted"/>
    <w:basedOn w:val="Fuentedeprrafopredeter"/>
    <w:rsid w:val="008359D2"/>
  </w:style>
  <w:style w:type="paragraph" w:styleId="Sinespaciado">
    <w:name w:val="No Spacing"/>
    <w:uiPriority w:val="1"/>
    <w:qFormat/>
    <w:rsid w:val="008359D2"/>
    <w:pPr>
      <w:spacing w:after="0" w:line="240" w:lineRule="auto"/>
    </w:pPr>
    <w:rPr>
      <w:lang w:val="es-CO"/>
    </w:rPr>
  </w:style>
  <w:style w:type="character" w:customStyle="1" w:styleId="Ttulo1Car">
    <w:name w:val="Título 1 Car"/>
    <w:basedOn w:val="Fuentedeprrafopredeter"/>
    <w:link w:val="Ttulo1"/>
    <w:uiPriority w:val="9"/>
    <w:rsid w:val="008359D2"/>
    <w:rPr>
      <w:rFonts w:asciiTheme="majorHAnsi" w:eastAsiaTheme="majorEastAsia" w:hAnsiTheme="majorHAnsi" w:cstheme="majorBidi"/>
      <w:color w:val="2E74B5" w:themeColor="accent1" w:themeShade="BF"/>
      <w:sz w:val="32"/>
      <w:szCs w:val="32"/>
      <w:lang w:val="es-CO"/>
    </w:rPr>
  </w:style>
  <w:style w:type="character" w:customStyle="1" w:styleId="Ttulo2Car">
    <w:name w:val="Título 2 Car"/>
    <w:basedOn w:val="Fuentedeprrafopredeter"/>
    <w:link w:val="Ttulo2"/>
    <w:uiPriority w:val="9"/>
    <w:rsid w:val="008359D2"/>
    <w:rPr>
      <w:rFonts w:asciiTheme="majorHAnsi" w:eastAsiaTheme="majorEastAsia" w:hAnsiTheme="majorHAnsi" w:cstheme="majorBidi"/>
      <w:color w:val="2E74B5" w:themeColor="accent1" w:themeShade="BF"/>
      <w:sz w:val="26"/>
      <w:szCs w:val="26"/>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7070">
      <w:bodyDiv w:val="1"/>
      <w:marLeft w:val="0"/>
      <w:marRight w:val="0"/>
      <w:marTop w:val="0"/>
      <w:marBottom w:val="0"/>
      <w:divBdr>
        <w:top w:val="none" w:sz="0" w:space="0" w:color="auto"/>
        <w:left w:val="none" w:sz="0" w:space="0" w:color="auto"/>
        <w:bottom w:val="none" w:sz="0" w:space="0" w:color="auto"/>
        <w:right w:val="none" w:sz="0" w:space="0" w:color="auto"/>
      </w:divBdr>
      <w:divsChild>
        <w:div w:id="1463619112">
          <w:marLeft w:val="0"/>
          <w:marRight w:val="0"/>
          <w:marTop w:val="0"/>
          <w:marBottom w:val="0"/>
          <w:divBdr>
            <w:top w:val="none" w:sz="0" w:space="0" w:color="auto"/>
            <w:left w:val="none" w:sz="0" w:space="0" w:color="auto"/>
            <w:bottom w:val="none" w:sz="0" w:space="0" w:color="auto"/>
            <w:right w:val="none" w:sz="0" w:space="0" w:color="auto"/>
          </w:divBdr>
        </w:div>
        <w:div w:id="587278606">
          <w:marLeft w:val="0"/>
          <w:marRight w:val="0"/>
          <w:marTop w:val="0"/>
          <w:marBottom w:val="0"/>
          <w:divBdr>
            <w:top w:val="none" w:sz="0" w:space="0" w:color="auto"/>
            <w:left w:val="none" w:sz="0" w:space="0" w:color="auto"/>
            <w:bottom w:val="none" w:sz="0" w:space="0" w:color="auto"/>
            <w:right w:val="none" w:sz="0" w:space="0" w:color="auto"/>
          </w:divBdr>
        </w:div>
        <w:div w:id="183248299">
          <w:marLeft w:val="0"/>
          <w:marRight w:val="0"/>
          <w:marTop w:val="0"/>
          <w:marBottom w:val="0"/>
          <w:divBdr>
            <w:top w:val="none" w:sz="0" w:space="0" w:color="auto"/>
            <w:left w:val="none" w:sz="0" w:space="0" w:color="auto"/>
            <w:bottom w:val="none" w:sz="0" w:space="0" w:color="auto"/>
            <w:right w:val="none" w:sz="0" w:space="0" w:color="auto"/>
          </w:divBdr>
        </w:div>
        <w:div w:id="914903069">
          <w:marLeft w:val="0"/>
          <w:marRight w:val="0"/>
          <w:marTop w:val="0"/>
          <w:marBottom w:val="0"/>
          <w:divBdr>
            <w:top w:val="none" w:sz="0" w:space="0" w:color="auto"/>
            <w:left w:val="none" w:sz="0" w:space="0" w:color="auto"/>
            <w:bottom w:val="none" w:sz="0" w:space="0" w:color="auto"/>
            <w:right w:val="none" w:sz="0" w:space="0" w:color="auto"/>
          </w:divBdr>
        </w:div>
        <w:div w:id="2117016195">
          <w:marLeft w:val="0"/>
          <w:marRight w:val="0"/>
          <w:marTop w:val="0"/>
          <w:marBottom w:val="0"/>
          <w:divBdr>
            <w:top w:val="none" w:sz="0" w:space="0" w:color="auto"/>
            <w:left w:val="none" w:sz="0" w:space="0" w:color="auto"/>
            <w:bottom w:val="none" w:sz="0" w:space="0" w:color="auto"/>
            <w:right w:val="none" w:sz="0" w:space="0" w:color="auto"/>
          </w:divBdr>
        </w:div>
        <w:div w:id="349649859">
          <w:marLeft w:val="0"/>
          <w:marRight w:val="0"/>
          <w:marTop w:val="0"/>
          <w:marBottom w:val="0"/>
          <w:divBdr>
            <w:top w:val="none" w:sz="0" w:space="0" w:color="auto"/>
            <w:left w:val="none" w:sz="0" w:space="0" w:color="auto"/>
            <w:bottom w:val="none" w:sz="0" w:space="0" w:color="auto"/>
            <w:right w:val="none" w:sz="0" w:space="0" w:color="auto"/>
          </w:divBdr>
        </w:div>
        <w:div w:id="906649491">
          <w:marLeft w:val="0"/>
          <w:marRight w:val="0"/>
          <w:marTop w:val="0"/>
          <w:marBottom w:val="0"/>
          <w:divBdr>
            <w:top w:val="none" w:sz="0" w:space="0" w:color="auto"/>
            <w:left w:val="none" w:sz="0" w:space="0" w:color="auto"/>
            <w:bottom w:val="none" w:sz="0" w:space="0" w:color="auto"/>
            <w:right w:val="none" w:sz="0" w:space="0" w:color="auto"/>
          </w:divBdr>
        </w:div>
        <w:div w:id="650599779">
          <w:marLeft w:val="0"/>
          <w:marRight w:val="0"/>
          <w:marTop w:val="0"/>
          <w:marBottom w:val="0"/>
          <w:divBdr>
            <w:top w:val="none" w:sz="0" w:space="0" w:color="auto"/>
            <w:left w:val="none" w:sz="0" w:space="0" w:color="auto"/>
            <w:bottom w:val="none" w:sz="0" w:space="0" w:color="auto"/>
            <w:right w:val="none" w:sz="0" w:space="0" w:color="auto"/>
          </w:divBdr>
        </w:div>
        <w:div w:id="1394044996">
          <w:marLeft w:val="0"/>
          <w:marRight w:val="0"/>
          <w:marTop w:val="0"/>
          <w:marBottom w:val="0"/>
          <w:divBdr>
            <w:top w:val="none" w:sz="0" w:space="0" w:color="auto"/>
            <w:left w:val="none" w:sz="0" w:space="0" w:color="auto"/>
            <w:bottom w:val="none" w:sz="0" w:space="0" w:color="auto"/>
            <w:right w:val="none" w:sz="0" w:space="0" w:color="auto"/>
          </w:divBdr>
        </w:div>
        <w:div w:id="2079935837">
          <w:marLeft w:val="0"/>
          <w:marRight w:val="0"/>
          <w:marTop w:val="0"/>
          <w:marBottom w:val="0"/>
          <w:divBdr>
            <w:top w:val="none" w:sz="0" w:space="0" w:color="auto"/>
            <w:left w:val="none" w:sz="0" w:space="0" w:color="auto"/>
            <w:bottom w:val="none" w:sz="0" w:space="0" w:color="auto"/>
            <w:right w:val="none" w:sz="0" w:space="0" w:color="auto"/>
          </w:divBdr>
        </w:div>
        <w:div w:id="1999065776">
          <w:marLeft w:val="0"/>
          <w:marRight w:val="0"/>
          <w:marTop w:val="0"/>
          <w:marBottom w:val="0"/>
          <w:divBdr>
            <w:top w:val="none" w:sz="0" w:space="0" w:color="auto"/>
            <w:left w:val="none" w:sz="0" w:space="0" w:color="auto"/>
            <w:bottom w:val="none" w:sz="0" w:space="0" w:color="auto"/>
            <w:right w:val="none" w:sz="0" w:space="0" w:color="auto"/>
          </w:divBdr>
        </w:div>
        <w:div w:id="1336879310">
          <w:marLeft w:val="0"/>
          <w:marRight w:val="0"/>
          <w:marTop w:val="0"/>
          <w:marBottom w:val="0"/>
          <w:divBdr>
            <w:top w:val="none" w:sz="0" w:space="0" w:color="auto"/>
            <w:left w:val="none" w:sz="0" w:space="0" w:color="auto"/>
            <w:bottom w:val="none" w:sz="0" w:space="0" w:color="auto"/>
            <w:right w:val="none" w:sz="0" w:space="0" w:color="auto"/>
          </w:divBdr>
        </w:div>
        <w:div w:id="862866389">
          <w:marLeft w:val="0"/>
          <w:marRight w:val="0"/>
          <w:marTop w:val="0"/>
          <w:marBottom w:val="0"/>
          <w:divBdr>
            <w:top w:val="none" w:sz="0" w:space="0" w:color="auto"/>
            <w:left w:val="none" w:sz="0" w:space="0" w:color="auto"/>
            <w:bottom w:val="none" w:sz="0" w:space="0" w:color="auto"/>
            <w:right w:val="none" w:sz="0" w:space="0" w:color="auto"/>
          </w:divBdr>
        </w:div>
        <w:div w:id="1488933336">
          <w:marLeft w:val="0"/>
          <w:marRight w:val="0"/>
          <w:marTop w:val="0"/>
          <w:marBottom w:val="0"/>
          <w:divBdr>
            <w:top w:val="none" w:sz="0" w:space="0" w:color="auto"/>
            <w:left w:val="none" w:sz="0" w:space="0" w:color="auto"/>
            <w:bottom w:val="none" w:sz="0" w:space="0" w:color="auto"/>
            <w:right w:val="none" w:sz="0" w:space="0" w:color="auto"/>
          </w:divBdr>
        </w:div>
        <w:div w:id="1949392400">
          <w:marLeft w:val="0"/>
          <w:marRight w:val="0"/>
          <w:marTop w:val="0"/>
          <w:marBottom w:val="0"/>
          <w:divBdr>
            <w:top w:val="none" w:sz="0" w:space="0" w:color="auto"/>
            <w:left w:val="none" w:sz="0" w:space="0" w:color="auto"/>
            <w:bottom w:val="none" w:sz="0" w:space="0" w:color="auto"/>
            <w:right w:val="none" w:sz="0" w:space="0" w:color="auto"/>
          </w:divBdr>
        </w:div>
        <w:div w:id="646398012">
          <w:marLeft w:val="0"/>
          <w:marRight w:val="0"/>
          <w:marTop w:val="0"/>
          <w:marBottom w:val="0"/>
          <w:divBdr>
            <w:top w:val="none" w:sz="0" w:space="0" w:color="auto"/>
            <w:left w:val="none" w:sz="0" w:space="0" w:color="auto"/>
            <w:bottom w:val="none" w:sz="0" w:space="0" w:color="auto"/>
            <w:right w:val="none" w:sz="0" w:space="0" w:color="auto"/>
          </w:divBdr>
        </w:div>
        <w:div w:id="1085876398">
          <w:marLeft w:val="0"/>
          <w:marRight w:val="0"/>
          <w:marTop w:val="0"/>
          <w:marBottom w:val="0"/>
          <w:divBdr>
            <w:top w:val="none" w:sz="0" w:space="0" w:color="auto"/>
            <w:left w:val="none" w:sz="0" w:space="0" w:color="auto"/>
            <w:bottom w:val="none" w:sz="0" w:space="0" w:color="auto"/>
            <w:right w:val="none" w:sz="0" w:space="0" w:color="auto"/>
          </w:divBdr>
        </w:div>
        <w:div w:id="557128157">
          <w:marLeft w:val="0"/>
          <w:marRight w:val="0"/>
          <w:marTop w:val="0"/>
          <w:marBottom w:val="0"/>
          <w:divBdr>
            <w:top w:val="none" w:sz="0" w:space="0" w:color="auto"/>
            <w:left w:val="none" w:sz="0" w:space="0" w:color="auto"/>
            <w:bottom w:val="none" w:sz="0" w:space="0" w:color="auto"/>
            <w:right w:val="none" w:sz="0" w:space="0" w:color="auto"/>
          </w:divBdr>
        </w:div>
        <w:div w:id="248463312">
          <w:marLeft w:val="0"/>
          <w:marRight w:val="0"/>
          <w:marTop w:val="0"/>
          <w:marBottom w:val="0"/>
          <w:divBdr>
            <w:top w:val="none" w:sz="0" w:space="0" w:color="auto"/>
            <w:left w:val="none" w:sz="0" w:space="0" w:color="auto"/>
            <w:bottom w:val="none" w:sz="0" w:space="0" w:color="auto"/>
            <w:right w:val="none" w:sz="0" w:space="0" w:color="auto"/>
          </w:divBdr>
        </w:div>
        <w:div w:id="540216485">
          <w:marLeft w:val="0"/>
          <w:marRight w:val="0"/>
          <w:marTop w:val="0"/>
          <w:marBottom w:val="0"/>
          <w:divBdr>
            <w:top w:val="none" w:sz="0" w:space="0" w:color="auto"/>
            <w:left w:val="none" w:sz="0" w:space="0" w:color="auto"/>
            <w:bottom w:val="none" w:sz="0" w:space="0" w:color="auto"/>
            <w:right w:val="none" w:sz="0" w:space="0" w:color="auto"/>
          </w:divBdr>
        </w:div>
        <w:div w:id="405764840">
          <w:marLeft w:val="0"/>
          <w:marRight w:val="0"/>
          <w:marTop w:val="0"/>
          <w:marBottom w:val="0"/>
          <w:divBdr>
            <w:top w:val="none" w:sz="0" w:space="0" w:color="auto"/>
            <w:left w:val="none" w:sz="0" w:space="0" w:color="auto"/>
            <w:bottom w:val="none" w:sz="0" w:space="0" w:color="auto"/>
            <w:right w:val="none" w:sz="0" w:space="0" w:color="auto"/>
          </w:divBdr>
        </w:div>
        <w:div w:id="1061251780">
          <w:marLeft w:val="0"/>
          <w:marRight w:val="0"/>
          <w:marTop w:val="0"/>
          <w:marBottom w:val="0"/>
          <w:divBdr>
            <w:top w:val="none" w:sz="0" w:space="0" w:color="auto"/>
            <w:left w:val="none" w:sz="0" w:space="0" w:color="auto"/>
            <w:bottom w:val="none" w:sz="0" w:space="0" w:color="auto"/>
            <w:right w:val="none" w:sz="0" w:space="0" w:color="auto"/>
          </w:divBdr>
        </w:div>
        <w:div w:id="288975478">
          <w:marLeft w:val="0"/>
          <w:marRight w:val="0"/>
          <w:marTop w:val="0"/>
          <w:marBottom w:val="0"/>
          <w:divBdr>
            <w:top w:val="none" w:sz="0" w:space="0" w:color="auto"/>
            <w:left w:val="none" w:sz="0" w:space="0" w:color="auto"/>
            <w:bottom w:val="none" w:sz="0" w:space="0" w:color="auto"/>
            <w:right w:val="none" w:sz="0" w:space="0" w:color="auto"/>
          </w:divBdr>
        </w:div>
        <w:div w:id="144664246">
          <w:marLeft w:val="0"/>
          <w:marRight w:val="0"/>
          <w:marTop w:val="0"/>
          <w:marBottom w:val="0"/>
          <w:divBdr>
            <w:top w:val="none" w:sz="0" w:space="0" w:color="auto"/>
            <w:left w:val="none" w:sz="0" w:space="0" w:color="auto"/>
            <w:bottom w:val="none" w:sz="0" w:space="0" w:color="auto"/>
            <w:right w:val="none" w:sz="0" w:space="0" w:color="auto"/>
          </w:divBdr>
        </w:div>
        <w:div w:id="2060205818">
          <w:marLeft w:val="0"/>
          <w:marRight w:val="0"/>
          <w:marTop w:val="0"/>
          <w:marBottom w:val="0"/>
          <w:divBdr>
            <w:top w:val="none" w:sz="0" w:space="0" w:color="auto"/>
            <w:left w:val="none" w:sz="0" w:space="0" w:color="auto"/>
            <w:bottom w:val="none" w:sz="0" w:space="0" w:color="auto"/>
            <w:right w:val="none" w:sz="0" w:space="0" w:color="auto"/>
          </w:divBdr>
        </w:div>
        <w:div w:id="370686645">
          <w:marLeft w:val="0"/>
          <w:marRight w:val="0"/>
          <w:marTop w:val="0"/>
          <w:marBottom w:val="0"/>
          <w:divBdr>
            <w:top w:val="none" w:sz="0" w:space="0" w:color="auto"/>
            <w:left w:val="none" w:sz="0" w:space="0" w:color="auto"/>
            <w:bottom w:val="none" w:sz="0" w:space="0" w:color="auto"/>
            <w:right w:val="none" w:sz="0" w:space="0" w:color="auto"/>
          </w:divBdr>
        </w:div>
        <w:div w:id="613829100">
          <w:marLeft w:val="0"/>
          <w:marRight w:val="0"/>
          <w:marTop w:val="0"/>
          <w:marBottom w:val="0"/>
          <w:divBdr>
            <w:top w:val="none" w:sz="0" w:space="0" w:color="auto"/>
            <w:left w:val="none" w:sz="0" w:space="0" w:color="auto"/>
            <w:bottom w:val="none" w:sz="0" w:space="0" w:color="auto"/>
            <w:right w:val="none" w:sz="0" w:space="0" w:color="auto"/>
          </w:divBdr>
        </w:div>
      </w:divsChild>
    </w:div>
    <w:div w:id="2042584098">
      <w:bodyDiv w:val="1"/>
      <w:marLeft w:val="0"/>
      <w:marRight w:val="0"/>
      <w:marTop w:val="0"/>
      <w:marBottom w:val="0"/>
      <w:divBdr>
        <w:top w:val="none" w:sz="0" w:space="0" w:color="auto"/>
        <w:left w:val="none" w:sz="0" w:space="0" w:color="auto"/>
        <w:bottom w:val="none" w:sz="0" w:space="0" w:color="auto"/>
        <w:right w:val="none" w:sz="0" w:space="0" w:color="auto"/>
      </w:divBdr>
      <w:divsChild>
        <w:div w:id="1749039577">
          <w:marLeft w:val="0"/>
          <w:marRight w:val="0"/>
          <w:marTop w:val="0"/>
          <w:marBottom w:val="0"/>
          <w:divBdr>
            <w:top w:val="none" w:sz="0" w:space="0" w:color="auto"/>
            <w:left w:val="none" w:sz="0" w:space="0" w:color="auto"/>
            <w:bottom w:val="none" w:sz="0" w:space="0" w:color="auto"/>
            <w:right w:val="none" w:sz="0" w:space="0" w:color="auto"/>
          </w:divBdr>
        </w:div>
        <w:div w:id="1550074620">
          <w:marLeft w:val="0"/>
          <w:marRight w:val="0"/>
          <w:marTop w:val="0"/>
          <w:marBottom w:val="0"/>
          <w:divBdr>
            <w:top w:val="none" w:sz="0" w:space="0" w:color="auto"/>
            <w:left w:val="none" w:sz="0" w:space="0" w:color="auto"/>
            <w:bottom w:val="none" w:sz="0" w:space="0" w:color="auto"/>
            <w:right w:val="none" w:sz="0" w:space="0" w:color="auto"/>
          </w:divBdr>
        </w:div>
        <w:div w:id="1736198298">
          <w:marLeft w:val="0"/>
          <w:marRight w:val="0"/>
          <w:marTop w:val="0"/>
          <w:marBottom w:val="0"/>
          <w:divBdr>
            <w:top w:val="none" w:sz="0" w:space="0" w:color="auto"/>
            <w:left w:val="none" w:sz="0" w:space="0" w:color="auto"/>
            <w:bottom w:val="none" w:sz="0" w:space="0" w:color="auto"/>
            <w:right w:val="none" w:sz="0" w:space="0" w:color="auto"/>
          </w:divBdr>
        </w:div>
        <w:div w:id="1811819970">
          <w:marLeft w:val="0"/>
          <w:marRight w:val="0"/>
          <w:marTop w:val="0"/>
          <w:marBottom w:val="0"/>
          <w:divBdr>
            <w:top w:val="none" w:sz="0" w:space="0" w:color="auto"/>
            <w:left w:val="none" w:sz="0" w:space="0" w:color="auto"/>
            <w:bottom w:val="none" w:sz="0" w:space="0" w:color="auto"/>
            <w:right w:val="none" w:sz="0" w:space="0" w:color="auto"/>
          </w:divBdr>
        </w:div>
        <w:div w:id="298612244">
          <w:marLeft w:val="0"/>
          <w:marRight w:val="0"/>
          <w:marTop w:val="0"/>
          <w:marBottom w:val="0"/>
          <w:divBdr>
            <w:top w:val="none" w:sz="0" w:space="0" w:color="auto"/>
            <w:left w:val="none" w:sz="0" w:space="0" w:color="auto"/>
            <w:bottom w:val="none" w:sz="0" w:space="0" w:color="auto"/>
            <w:right w:val="none" w:sz="0" w:space="0" w:color="auto"/>
          </w:divBdr>
        </w:div>
        <w:div w:id="424695285">
          <w:marLeft w:val="0"/>
          <w:marRight w:val="0"/>
          <w:marTop w:val="0"/>
          <w:marBottom w:val="0"/>
          <w:divBdr>
            <w:top w:val="none" w:sz="0" w:space="0" w:color="auto"/>
            <w:left w:val="none" w:sz="0" w:space="0" w:color="auto"/>
            <w:bottom w:val="none" w:sz="0" w:space="0" w:color="auto"/>
            <w:right w:val="none" w:sz="0" w:space="0" w:color="auto"/>
          </w:divBdr>
        </w:div>
        <w:div w:id="884292808">
          <w:marLeft w:val="0"/>
          <w:marRight w:val="0"/>
          <w:marTop w:val="0"/>
          <w:marBottom w:val="0"/>
          <w:divBdr>
            <w:top w:val="none" w:sz="0" w:space="0" w:color="auto"/>
            <w:left w:val="none" w:sz="0" w:space="0" w:color="auto"/>
            <w:bottom w:val="none" w:sz="0" w:space="0" w:color="auto"/>
            <w:right w:val="none" w:sz="0" w:space="0" w:color="auto"/>
          </w:divBdr>
        </w:div>
        <w:div w:id="1633440112">
          <w:marLeft w:val="0"/>
          <w:marRight w:val="0"/>
          <w:marTop w:val="0"/>
          <w:marBottom w:val="0"/>
          <w:divBdr>
            <w:top w:val="none" w:sz="0" w:space="0" w:color="auto"/>
            <w:left w:val="none" w:sz="0" w:space="0" w:color="auto"/>
            <w:bottom w:val="none" w:sz="0" w:space="0" w:color="auto"/>
            <w:right w:val="none" w:sz="0" w:space="0" w:color="auto"/>
          </w:divBdr>
        </w:div>
        <w:div w:id="1344162881">
          <w:marLeft w:val="0"/>
          <w:marRight w:val="0"/>
          <w:marTop w:val="0"/>
          <w:marBottom w:val="0"/>
          <w:divBdr>
            <w:top w:val="none" w:sz="0" w:space="0" w:color="auto"/>
            <w:left w:val="none" w:sz="0" w:space="0" w:color="auto"/>
            <w:bottom w:val="none" w:sz="0" w:space="0" w:color="auto"/>
            <w:right w:val="none" w:sz="0" w:space="0" w:color="auto"/>
          </w:divBdr>
        </w:div>
        <w:div w:id="1878546122">
          <w:marLeft w:val="0"/>
          <w:marRight w:val="0"/>
          <w:marTop w:val="0"/>
          <w:marBottom w:val="0"/>
          <w:divBdr>
            <w:top w:val="none" w:sz="0" w:space="0" w:color="auto"/>
            <w:left w:val="none" w:sz="0" w:space="0" w:color="auto"/>
            <w:bottom w:val="none" w:sz="0" w:space="0" w:color="auto"/>
            <w:right w:val="none" w:sz="0" w:space="0" w:color="auto"/>
          </w:divBdr>
        </w:div>
        <w:div w:id="874660249">
          <w:marLeft w:val="0"/>
          <w:marRight w:val="0"/>
          <w:marTop w:val="0"/>
          <w:marBottom w:val="0"/>
          <w:divBdr>
            <w:top w:val="none" w:sz="0" w:space="0" w:color="auto"/>
            <w:left w:val="none" w:sz="0" w:space="0" w:color="auto"/>
            <w:bottom w:val="none" w:sz="0" w:space="0" w:color="auto"/>
            <w:right w:val="none" w:sz="0" w:space="0" w:color="auto"/>
          </w:divBdr>
        </w:div>
        <w:div w:id="348528611">
          <w:marLeft w:val="0"/>
          <w:marRight w:val="0"/>
          <w:marTop w:val="0"/>
          <w:marBottom w:val="0"/>
          <w:divBdr>
            <w:top w:val="none" w:sz="0" w:space="0" w:color="auto"/>
            <w:left w:val="none" w:sz="0" w:space="0" w:color="auto"/>
            <w:bottom w:val="none" w:sz="0" w:space="0" w:color="auto"/>
            <w:right w:val="none" w:sz="0" w:space="0" w:color="auto"/>
          </w:divBdr>
        </w:div>
        <w:div w:id="1374843047">
          <w:marLeft w:val="0"/>
          <w:marRight w:val="0"/>
          <w:marTop w:val="0"/>
          <w:marBottom w:val="0"/>
          <w:divBdr>
            <w:top w:val="none" w:sz="0" w:space="0" w:color="auto"/>
            <w:left w:val="none" w:sz="0" w:space="0" w:color="auto"/>
            <w:bottom w:val="none" w:sz="0" w:space="0" w:color="auto"/>
            <w:right w:val="none" w:sz="0" w:space="0" w:color="auto"/>
          </w:divBdr>
        </w:div>
        <w:div w:id="1296566763">
          <w:marLeft w:val="0"/>
          <w:marRight w:val="0"/>
          <w:marTop w:val="0"/>
          <w:marBottom w:val="0"/>
          <w:divBdr>
            <w:top w:val="none" w:sz="0" w:space="0" w:color="auto"/>
            <w:left w:val="none" w:sz="0" w:space="0" w:color="auto"/>
            <w:bottom w:val="none" w:sz="0" w:space="0" w:color="auto"/>
            <w:right w:val="none" w:sz="0" w:space="0" w:color="auto"/>
          </w:divBdr>
        </w:div>
        <w:div w:id="2139640148">
          <w:marLeft w:val="0"/>
          <w:marRight w:val="0"/>
          <w:marTop w:val="0"/>
          <w:marBottom w:val="0"/>
          <w:divBdr>
            <w:top w:val="none" w:sz="0" w:space="0" w:color="auto"/>
            <w:left w:val="none" w:sz="0" w:space="0" w:color="auto"/>
            <w:bottom w:val="none" w:sz="0" w:space="0" w:color="auto"/>
            <w:right w:val="none" w:sz="0" w:space="0" w:color="auto"/>
          </w:divBdr>
        </w:div>
        <w:div w:id="307827604">
          <w:marLeft w:val="0"/>
          <w:marRight w:val="0"/>
          <w:marTop w:val="0"/>
          <w:marBottom w:val="0"/>
          <w:divBdr>
            <w:top w:val="none" w:sz="0" w:space="0" w:color="auto"/>
            <w:left w:val="none" w:sz="0" w:space="0" w:color="auto"/>
            <w:bottom w:val="none" w:sz="0" w:space="0" w:color="auto"/>
            <w:right w:val="none" w:sz="0" w:space="0" w:color="auto"/>
          </w:divBdr>
        </w:div>
        <w:div w:id="279457314">
          <w:marLeft w:val="0"/>
          <w:marRight w:val="0"/>
          <w:marTop w:val="0"/>
          <w:marBottom w:val="0"/>
          <w:divBdr>
            <w:top w:val="none" w:sz="0" w:space="0" w:color="auto"/>
            <w:left w:val="none" w:sz="0" w:space="0" w:color="auto"/>
            <w:bottom w:val="none" w:sz="0" w:space="0" w:color="auto"/>
            <w:right w:val="none" w:sz="0" w:space="0" w:color="auto"/>
          </w:divBdr>
        </w:div>
        <w:div w:id="1372807770">
          <w:marLeft w:val="0"/>
          <w:marRight w:val="0"/>
          <w:marTop w:val="0"/>
          <w:marBottom w:val="0"/>
          <w:divBdr>
            <w:top w:val="none" w:sz="0" w:space="0" w:color="auto"/>
            <w:left w:val="none" w:sz="0" w:space="0" w:color="auto"/>
            <w:bottom w:val="none" w:sz="0" w:space="0" w:color="auto"/>
            <w:right w:val="none" w:sz="0" w:space="0" w:color="auto"/>
          </w:divBdr>
        </w:div>
        <w:div w:id="1019237596">
          <w:marLeft w:val="0"/>
          <w:marRight w:val="0"/>
          <w:marTop w:val="0"/>
          <w:marBottom w:val="0"/>
          <w:divBdr>
            <w:top w:val="none" w:sz="0" w:space="0" w:color="auto"/>
            <w:left w:val="none" w:sz="0" w:space="0" w:color="auto"/>
            <w:bottom w:val="none" w:sz="0" w:space="0" w:color="auto"/>
            <w:right w:val="none" w:sz="0" w:space="0" w:color="auto"/>
          </w:divBdr>
        </w:div>
        <w:div w:id="180631373">
          <w:marLeft w:val="0"/>
          <w:marRight w:val="0"/>
          <w:marTop w:val="0"/>
          <w:marBottom w:val="0"/>
          <w:divBdr>
            <w:top w:val="none" w:sz="0" w:space="0" w:color="auto"/>
            <w:left w:val="none" w:sz="0" w:space="0" w:color="auto"/>
            <w:bottom w:val="none" w:sz="0" w:space="0" w:color="auto"/>
            <w:right w:val="none" w:sz="0" w:space="0" w:color="auto"/>
          </w:divBdr>
        </w:div>
        <w:div w:id="460921700">
          <w:marLeft w:val="0"/>
          <w:marRight w:val="0"/>
          <w:marTop w:val="0"/>
          <w:marBottom w:val="0"/>
          <w:divBdr>
            <w:top w:val="none" w:sz="0" w:space="0" w:color="auto"/>
            <w:left w:val="none" w:sz="0" w:space="0" w:color="auto"/>
            <w:bottom w:val="none" w:sz="0" w:space="0" w:color="auto"/>
            <w:right w:val="none" w:sz="0" w:space="0" w:color="auto"/>
          </w:divBdr>
        </w:div>
        <w:div w:id="1849712267">
          <w:marLeft w:val="0"/>
          <w:marRight w:val="0"/>
          <w:marTop w:val="0"/>
          <w:marBottom w:val="0"/>
          <w:divBdr>
            <w:top w:val="none" w:sz="0" w:space="0" w:color="auto"/>
            <w:left w:val="none" w:sz="0" w:space="0" w:color="auto"/>
            <w:bottom w:val="none" w:sz="0" w:space="0" w:color="auto"/>
            <w:right w:val="none" w:sz="0" w:space="0" w:color="auto"/>
          </w:divBdr>
        </w:div>
        <w:div w:id="710224019">
          <w:marLeft w:val="0"/>
          <w:marRight w:val="0"/>
          <w:marTop w:val="0"/>
          <w:marBottom w:val="0"/>
          <w:divBdr>
            <w:top w:val="none" w:sz="0" w:space="0" w:color="auto"/>
            <w:left w:val="none" w:sz="0" w:space="0" w:color="auto"/>
            <w:bottom w:val="none" w:sz="0" w:space="0" w:color="auto"/>
            <w:right w:val="none" w:sz="0" w:space="0" w:color="auto"/>
          </w:divBdr>
        </w:div>
        <w:div w:id="669062323">
          <w:marLeft w:val="0"/>
          <w:marRight w:val="0"/>
          <w:marTop w:val="0"/>
          <w:marBottom w:val="0"/>
          <w:divBdr>
            <w:top w:val="none" w:sz="0" w:space="0" w:color="auto"/>
            <w:left w:val="none" w:sz="0" w:space="0" w:color="auto"/>
            <w:bottom w:val="none" w:sz="0" w:space="0" w:color="auto"/>
            <w:right w:val="none" w:sz="0" w:space="0" w:color="auto"/>
          </w:divBdr>
        </w:div>
        <w:div w:id="687676831">
          <w:marLeft w:val="0"/>
          <w:marRight w:val="0"/>
          <w:marTop w:val="0"/>
          <w:marBottom w:val="0"/>
          <w:divBdr>
            <w:top w:val="none" w:sz="0" w:space="0" w:color="auto"/>
            <w:left w:val="none" w:sz="0" w:space="0" w:color="auto"/>
            <w:bottom w:val="none" w:sz="0" w:space="0" w:color="auto"/>
            <w:right w:val="none" w:sz="0" w:space="0" w:color="auto"/>
          </w:divBdr>
        </w:div>
        <w:div w:id="1622763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13</Pages>
  <Words>5297</Words>
  <Characters>30196</Characters>
  <Application>Microsoft Office Word</Application>
  <DocSecurity>0</DocSecurity>
  <Lines>251</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JAIME ALBERTO CASTRO</dc:creator>
  <cp:keywords/>
  <dc:description/>
  <cp:lastModifiedBy>JAIME ALBERTO CASTRO</cp:lastModifiedBy>
  <cp:revision>2</cp:revision>
  <dcterms:created xsi:type="dcterms:W3CDTF">2026-07-13T06:51:00Z</dcterms:created>
  <dcterms:modified xsi:type="dcterms:W3CDTF">2026-07-13T07:33:00Z</dcterms:modified>
</cp:coreProperties>
</file>